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LT</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XI PRIEDAS</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INFORMACIJOS APIE SVERTĄ TEIKIMO NURODYMAI</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19D06409" w14:textId="170BF39B" w:rsidR="0006442A"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888731" w:history="1">
        <w:r w:rsidR="0006442A" w:rsidRPr="006D3BAC">
          <w:rPr>
            <w:rStyle w:val="Hyperlink"/>
            <w:rFonts w:ascii="Times New Roman" w:hAnsi="Times New Roman"/>
            <w:b/>
          </w:rPr>
          <w:t>I DALIS. BENDRIEJI NURODYMAI</w:t>
        </w:r>
        <w:r w:rsidR="0006442A">
          <w:rPr>
            <w:webHidden/>
          </w:rPr>
          <w:tab/>
        </w:r>
        <w:r w:rsidR="0006442A">
          <w:rPr>
            <w:webHidden/>
          </w:rPr>
          <w:fldChar w:fldCharType="begin"/>
        </w:r>
        <w:r w:rsidR="0006442A">
          <w:rPr>
            <w:webHidden/>
          </w:rPr>
          <w:instrText xml:space="preserve"> PAGEREF _Toc188888731 \h </w:instrText>
        </w:r>
        <w:r w:rsidR="0006442A">
          <w:rPr>
            <w:webHidden/>
          </w:rPr>
        </w:r>
        <w:r w:rsidR="0006442A">
          <w:rPr>
            <w:webHidden/>
          </w:rPr>
          <w:fldChar w:fldCharType="separate"/>
        </w:r>
        <w:r w:rsidR="0006442A">
          <w:rPr>
            <w:webHidden/>
          </w:rPr>
          <w:t>2</w:t>
        </w:r>
        <w:r w:rsidR="0006442A">
          <w:rPr>
            <w:webHidden/>
          </w:rPr>
          <w:fldChar w:fldCharType="end"/>
        </w:r>
      </w:hyperlink>
    </w:p>
    <w:p w14:paraId="6A9A66E3" w14:textId="2761FAF9"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32" w:history="1">
        <w:r w:rsidRPr="006D3BAC">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Struktūra ir kita tvarka</w:t>
        </w:r>
        <w:r>
          <w:rPr>
            <w:webHidden/>
          </w:rPr>
          <w:tab/>
        </w:r>
        <w:r>
          <w:rPr>
            <w:webHidden/>
          </w:rPr>
          <w:fldChar w:fldCharType="begin"/>
        </w:r>
        <w:r>
          <w:rPr>
            <w:webHidden/>
          </w:rPr>
          <w:instrText xml:space="preserve"> PAGEREF _Toc188888732 \h </w:instrText>
        </w:r>
        <w:r>
          <w:rPr>
            <w:webHidden/>
          </w:rPr>
        </w:r>
        <w:r>
          <w:rPr>
            <w:webHidden/>
          </w:rPr>
          <w:fldChar w:fldCharType="separate"/>
        </w:r>
        <w:r>
          <w:rPr>
            <w:webHidden/>
          </w:rPr>
          <w:t>2</w:t>
        </w:r>
        <w:r>
          <w:rPr>
            <w:webHidden/>
          </w:rPr>
          <w:fldChar w:fldCharType="end"/>
        </w:r>
      </w:hyperlink>
    </w:p>
    <w:p w14:paraId="406A0674" w14:textId="407B97F8" w:rsidR="0006442A" w:rsidRDefault="0006442A">
      <w:pPr>
        <w:pStyle w:val="TOC3"/>
        <w:rPr>
          <w:rFonts w:asciiTheme="minorHAnsi" w:eastAsiaTheme="minorEastAsia" w:hAnsiTheme="minorHAnsi" w:cstheme="minorBidi"/>
          <w:smallCaps w:val="0"/>
          <w:kern w:val="2"/>
          <w:sz w:val="24"/>
          <w:lang w:val="en-IE" w:eastAsia="en-IE"/>
          <w14:ligatures w14:val="standardContextual"/>
        </w:rPr>
      </w:pPr>
      <w:hyperlink w:anchor="_Toc188888733" w:history="1">
        <w:r w:rsidRPr="006D3BAC">
          <w:rPr>
            <w:rStyle w:val="Hyperlink"/>
            <w:rFonts w:ascii="Times New Roman" w:hAnsi="Times New Roman"/>
            <w:b/>
          </w:rPr>
          <w:t>1.1.</w:t>
        </w:r>
        <w:r>
          <w:rPr>
            <w:rFonts w:asciiTheme="minorHAnsi" w:eastAsiaTheme="minorEastAsia" w:hAnsiTheme="minorHAnsi" w:cstheme="minorBidi"/>
            <w:smallCaps w:val="0"/>
            <w:kern w:val="2"/>
            <w:sz w:val="24"/>
            <w:lang w:val="en-IE" w:eastAsia="en-IE"/>
            <w14:ligatures w14:val="standardContextual"/>
          </w:rPr>
          <w:tab/>
        </w:r>
        <w:r w:rsidRPr="006D3BAC">
          <w:rPr>
            <w:rStyle w:val="Hyperlink"/>
            <w:rFonts w:ascii="Times New Roman" w:hAnsi="Times New Roman"/>
            <w:b/>
          </w:rPr>
          <w:t>Struktūra</w:t>
        </w:r>
        <w:r>
          <w:rPr>
            <w:webHidden/>
          </w:rPr>
          <w:tab/>
        </w:r>
        <w:r>
          <w:rPr>
            <w:webHidden/>
          </w:rPr>
          <w:fldChar w:fldCharType="begin"/>
        </w:r>
        <w:r>
          <w:rPr>
            <w:webHidden/>
          </w:rPr>
          <w:instrText xml:space="preserve"> PAGEREF _Toc188888733 \h </w:instrText>
        </w:r>
        <w:r>
          <w:rPr>
            <w:webHidden/>
          </w:rPr>
        </w:r>
        <w:r>
          <w:rPr>
            <w:webHidden/>
          </w:rPr>
          <w:fldChar w:fldCharType="separate"/>
        </w:r>
        <w:r>
          <w:rPr>
            <w:webHidden/>
          </w:rPr>
          <w:t>2</w:t>
        </w:r>
        <w:r>
          <w:rPr>
            <w:webHidden/>
          </w:rPr>
          <w:fldChar w:fldCharType="end"/>
        </w:r>
      </w:hyperlink>
    </w:p>
    <w:p w14:paraId="3E8670E0" w14:textId="04ACF11B" w:rsidR="0006442A" w:rsidRDefault="0006442A">
      <w:pPr>
        <w:pStyle w:val="TOC3"/>
        <w:rPr>
          <w:rFonts w:asciiTheme="minorHAnsi" w:eastAsiaTheme="minorEastAsia" w:hAnsiTheme="minorHAnsi" w:cstheme="minorBidi"/>
          <w:smallCaps w:val="0"/>
          <w:kern w:val="2"/>
          <w:sz w:val="24"/>
          <w:lang w:val="en-IE" w:eastAsia="en-IE"/>
          <w14:ligatures w14:val="standardContextual"/>
        </w:rPr>
      </w:pPr>
      <w:hyperlink w:anchor="_Toc188888734" w:history="1">
        <w:r w:rsidRPr="006D3BAC">
          <w:rPr>
            <w:rStyle w:val="Hyperlink"/>
            <w:rFonts w:ascii="Times New Roman" w:hAnsi="Times New Roman"/>
            <w:b/>
          </w:rPr>
          <w:t>1.2.</w:t>
        </w:r>
        <w:r>
          <w:rPr>
            <w:rFonts w:asciiTheme="minorHAnsi" w:eastAsiaTheme="minorEastAsia" w:hAnsiTheme="minorHAnsi" w:cstheme="minorBidi"/>
            <w:smallCaps w:val="0"/>
            <w:kern w:val="2"/>
            <w:sz w:val="24"/>
            <w:lang w:val="en-IE" w:eastAsia="en-IE"/>
            <w14:ligatures w14:val="standardContextual"/>
          </w:rPr>
          <w:tab/>
        </w:r>
        <w:r w:rsidRPr="006D3BAC">
          <w:rPr>
            <w:rStyle w:val="Hyperlink"/>
            <w:rFonts w:ascii="Times New Roman" w:hAnsi="Times New Roman"/>
            <w:b/>
          </w:rPr>
          <w:t>Numeravimo tvarka</w:t>
        </w:r>
        <w:r>
          <w:rPr>
            <w:webHidden/>
          </w:rPr>
          <w:tab/>
        </w:r>
        <w:r>
          <w:rPr>
            <w:webHidden/>
          </w:rPr>
          <w:fldChar w:fldCharType="begin"/>
        </w:r>
        <w:r>
          <w:rPr>
            <w:webHidden/>
          </w:rPr>
          <w:instrText xml:space="preserve"> PAGEREF _Toc188888734 \h </w:instrText>
        </w:r>
        <w:r>
          <w:rPr>
            <w:webHidden/>
          </w:rPr>
        </w:r>
        <w:r>
          <w:rPr>
            <w:webHidden/>
          </w:rPr>
          <w:fldChar w:fldCharType="separate"/>
        </w:r>
        <w:r>
          <w:rPr>
            <w:webHidden/>
          </w:rPr>
          <w:t>2</w:t>
        </w:r>
        <w:r>
          <w:rPr>
            <w:webHidden/>
          </w:rPr>
          <w:fldChar w:fldCharType="end"/>
        </w:r>
      </w:hyperlink>
    </w:p>
    <w:p w14:paraId="46A507F5" w14:textId="3AEE5BF8" w:rsidR="0006442A" w:rsidRDefault="0006442A">
      <w:pPr>
        <w:pStyle w:val="TOC3"/>
        <w:rPr>
          <w:rFonts w:asciiTheme="minorHAnsi" w:eastAsiaTheme="minorEastAsia" w:hAnsiTheme="minorHAnsi" w:cstheme="minorBidi"/>
          <w:smallCaps w:val="0"/>
          <w:kern w:val="2"/>
          <w:sz w:val="24"/>
          <w:lang w:val="en-IE" w:eastAsia="en-IE"/>
          <w14:ligatures w14:val="standardContextual"/>
        </w:rPr>
      </w:pPr>
      <w:hyperlink w:anchor="_Toc188888735" w:history="1">
        <w:r w:rsidRPr="006D3BAC">
          <w:rPr>
            <w:rStyle w:val="Hyperlink"/>
            <w:rFonts w:ascii="Times New Roman" w:hAnsi="Times New Roman"/>
            <w:b/>
          </w:rPr>
          <w:t>1.3.</w:t>
        </w:r>
        <w:r>
          <w:rPr>
            <w:rFonts w:asciiTheme="minorHAnsi" w:eastAsiaTheme="minorEastAsia" w:hAnsiTheme="minorHAnsi" w:cstheme="minorBidi"/>
            <w:smallCaps w:val="0"/>
            <w:kern w:val="2"/>
            <w:sz w:val="24"/>
            <w:lang w:val="en-IE" w:eastAsia="en-IE"/>
            <w14:ligatures w14:val="standardContextual"/>
          </w:rPr>
          <w:tab/>
        </w:r>
        <w:r w:rsidRPr="006D3BAC">
          <w:rPr>
            <w:rStyle w:val="Hyperlink"/>
            <w:rFonts w:ascii="Times New Roman" w:hAnsi="Times New Roman"/>
            <w:b/>
          </w:rPr>
          <w:t>Santrumpos</w:t>
        </w:r>
        <w:r>
          <w:rPr>
            <w:webHidden/>
          </w:rPr>
          <w:tab/>
        </w:r>
        <w:r>
          <w:rPr>
            <w:webHidden/>
          </w:rPr>
          <w:fldChar w:fldCharType="begin"/>
        </w:r>
        <w:r>
          <w:rPr>
            <w:webHidden/>
          </w:rPr>
          <w:instrText xml:space="preserve"> PAGEREF _Toc188888735 \h </w:instrText>
        </w:r>
        <w:r>
          <w:rPr>
            <w:webHidden/>
          </w:rPr>
        </w:r>
        <w:r>
          <w:rPr>
            <w:webHidden/>
          </w:rPr>
          <w:fldChar w:fldCharType="separate"/>
        </w:r>
        <w:r>
          <w:rPr>
            <w:webHidden/>
          </w:rPr>
          <w:t>2</w:t>
        </w:r>
        <w:r>
          <w:rPr>
            <w:webHidden/>
          </w:rPr>
          <w:fldChar w:fldCharType="end"/>
        </w:r>
      </w:hyperlink>
    </w:p>
    <w:p w14:paraId="442F1FE4" w14:textId="62CBFF43" w:rsidR="0006442A" w:rsidRDefault="0006442A">
      <w:pPr>
        <w:pStyle w:val="TOC3"/>
        <w:rPr>
          <w:rFonts w:asciiTheme="minorHAnsi" w:eastAsiaTheme="minorEastAsia" w:hAnsiTheme="minorHAnsi" w:cstheme="minorBidi"/>
          <w:smallCaps w:val="0"/>
          <w:kern w:val="2"/>
          <w:sz w:val="24"/>
          <w:lang w:val="en-IE" w:eastAsia="en-IE"/>
          <w14:ligatures w14:val="standardContextual"/>
        </w:rPr>
      </w:pPr>
      <w:hyperlink w:anchor="_Toc188888736" w:history="1">
        <w:r w:rsidRPr="006D3BAC">
          <w:rPr>
            <w:rStyle w:val="Hyperlink"/>
            <w:rFonts w:ascii="Times New Roman" w:hAnsi="Times New Roman"/>
            <w:b/>
          </w:rPr>
          <w:t>1.4.</w:t>
        </w:r>
        <w:r>
          <w:rPr>
            <w:rFonts w:asciiTheme="minorHAnsi" w:eastAsiaTheme="minorEastAsia" w:hAnsiTheme="minorHAnsi" w:cstheme="minorBidi"/>
            <w:smallCaps w:val="0"/>
            <w:kern w:val="2"/>
            <w:sz w:val="24"/>
            <w:lang w:val="en-IE" w:eastAsia="en-IE"/>
            <w14:ligatures w14:val="standardContextual"/>
          </w:rPr>
          <w:tab/>
        </w:r>
        <w:r w:rsidRPr="006D3BAC">
          <w:rPr>
            <w:rStyle w:val="Hyperlink"/>
            <w:rFonts w:ascii="Times New Roman" w:hAnsi="Times New Roman"/>
            <w:b/>
          </w:rPr>
          <w:t>Ženklų tvarka</w:t>
        </w:r>
        <w:r>
          <w:rPr>
            <w:webHidden/>
          </w:rPr>
          <w:tab/>
        </w:r>
        <w:r>
          <w:rPr>
            <w:webHidden/>
          </w:rPr>
          <w:fldChar w:fldCharType="begin"/>
        </w:r>
        <w:r>
          <w:rPr>
            <w:webHidden/>
          </w:rPr>
          <w:instrText xml:space="preserve"> PAGEREF _Toc188888736 \h </w:instrText>
        </w:r>
        <w:r>
          <w:rPr>
            <w:webHidden/>
          </w:rPr>
        </w:r>
        <w:r>
          <w:rPr>
            <w:webHidden/>
          </w:rPr>
          <w:fldChar w:fldCharType="separate"/>
        </w:r>
        <w:r>
          <w:rPr>
            <w:webHidden/>
          </w:rPr>
          <w:t>3</w:t>
        </w:r>
        <w:r>
          <w:rPr>
            <w:webHidden/>
          </w:rPr>
          <w:fldChar w:fldCharType="end"/>
        </w:r>
      </w:hyperlink>
    </w:p>
    <w:p w14:paraId="5EE73828" w14:textId="5ACA319E" w:rsidR="0006442A" w:rsidRDefault="0006442A">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88737" w:history="1">
        <w:r w:rsidRPr="006D3BAC">
          <w:rPr>
            <w:rStyle w:val="Hyperlink"/>
            <w:rFonts w:ascii="Times New Roman" w:hAnsi="Times New Roman"/>
            <w:b/>
          </w:rPr>
          <w:t>II DALIS. SU FORMA SUSIJĘ NURODYMAI</w:t>
        </w:r>
        <w:r>
          <w:rPr>
            <w:webHidden/>
          </w:rPr>
          <w:tab/>
        </w:r>
        <w:r>
          <w:rPr>
            <w:webHidden/>
          </w:rPr>
          <w:fldChar w:fldCharType="begin"/>
        </w:r>
        <w:r>
          <w:rPr>
            <w:webHidden/>
          </w:rPr>
          <w:instrText xml:space="preserve"> PAGEREF _Toc188888737 \h </w:instrText>
        </w:r>
        <w:r>
          <w:rPr>
            <w:webHidden/>
          </w:rPr>
        </w:r>
        <w:r>
          <w:rPr>
            <w:webHidden/>
          </w:rPr>
          <w:fldChar w:fldCharType="separate"/>
        </w:r>
        <w:r>
          <w:rPr>
            <w:webHidden/>
          </w:rPr>
          <w:t>4</w:t>
        </w:r>
        <w:r>
          <w:rPr>
            <w:webHidden/>
          </w:rPr>
          <w:fldChar w:fldCharType="end"/>
        </w:r>
      </w:hyperlink>
    </w:p>
    <w:p w14:paraId="67623790" w14:textId="367956D9"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38" w:history="1">
        <w:r w:rsidRPr="006D3BAC">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Sverto koeficiento apskaičiavimo formulės</w:t>
        </w:r>
        <w:r>
          <w:rPr>
            <w:webHidden/>
          </w:rPr>
          <w:tab/>
        </w:r>
        <w:r>
          <w:rPr>
            <w:webHidden/>
          </w:rPr>
          <w:fldChar w:fldCharType="begin"/>
        </w:r>
        <w:r>
          <w:rPr>
            <w:webHidden/>
          </w:rPr>
          <w:instrText xml:space="preserve"> PAGEREF _Toc188888738 \h </w:instrText>
        </w:r>
        <w:r>
          <w:rPr>
            <w:webHidden/>
          </w:rPr>
        </w:r>
        <w:r>
          <w:rPr>
            <w:webHidden/>
          </w:rPr>
          <w:fldChar w:fldCharType="separate"/>
        </w:r>
        <w:r>
          <w:rPr>
            <w:webHidden/>
          </w:rPr>
          <w:t>4</w:t>
        </w:r>
        <w:r>
          <w:rPr>
            <w:webHidden/>
          </w:rPr>
          <w:fldChar w:fldCharType="end"/>
        </w:r>
      </w:hyperlink>
    </w:p>
    <w:p w14:paraId="3DFA71C5" w14:textId="11EEF891"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39" w:history="1">
        <w:r w:rsidRPr="006D3BAC">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Išvestinių finansinių priemonių reikšmingumo ribinės vertės</w:t>
        </w:r>
        <w:r>
          <w:rPr>
            <w:webHidden/>
          </w:rPr>
          <w:tab/>
        </w:r>
        <w:r>
          <w:rPr>
            <w:webHidden/>
          </w:rPr>
          <w:fldChar w:fldCharType="begin"/>
        </w:r>
        <w:r>
          <w:rPr>
            <w:webHidden/>
          </w:rPr>
          <w:instrText xml:space="preserve"> PAGEREF _Toc188888739 \h </w:instrText>
        </w:r>
        <w:r>
          <w:rPr>
            <w:webHidden/>
          </w:rPr>
        </w:r>
        <w:r>
          <w:rPr>
            <w:webHidden/>
          </w:rPr>
          <w:fldChar w:fldCharType="separate"/>
        </w:r>
        <w:r>
          <w:rPr>
            <w:webHidden/>
          </w:rPr>
          <w:t>4</w:t>
        </w:r>
        <w:r>
          <w:rPr>
            <w:webHidden/>
          </w:rPr>
          <w:fldChar w:fldCharType="end"/>
        </w:r>
      </w:hyperlink>
    </w:p>
    <w:p w14:paraId="4BEB5FF8" w14:textId="315CE1F9"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0" w:history="1">
        <w:r w:rsidRPr="006D3BAC">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47.00. Sverto koeficiento apskaičiavimas (LRCalc)</w:t>
        </w:r>
        <w:r>
          <w:rPr>
            <w:webHidden/>
          </w:rPr>
          <w:tab/>
        </w:r>
        <w:r>
          <w:rPr>
            <w:webHidden/>
          </w:rPr>
          <w:fldChar w:fldCharType="begin"/>
        </w:r>
        <w:r>
          <w:rPr>
            <w:webHidden/>
          </w:rPr>
          <w:instrText xml:space="preserve"> PAGEREF _Toc188888740 \h </w:instrText>
        </w:r>
        <w:r>
          <w:rPr>
            <w:webHidden/>
          </w:rPr>
        </w:r>
        <w:r>
          <w:rPr>
            <w:webHidden/>
          </w:rPr>
          <w:fldChar w:fldCharType="separate"/>
        </w:r>
        <w:r>
          <w:rPr>
            <w:webHidden/>
          </w:rPr>
          <w:t>5</w:t>
        </w:r>
        <w:r>
          <w:rPr>
            <w:webHidden/>
          </w:rPr>
          <w:fldChar w:fldCharType="end"/>
        </w:r>
      </w:hyperlink>
    </w:p>
    <w:p w14:paraId="1FCD78EC" w14:textId="0EC2A1D7"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1" w:history="1">
        <w:r w:rsidRPr="006D3BAC">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40.00. Alternatyvus pozicijų mato vertinimas (LR1)</w:t>
        </w:r>
        <w:r>
          <w:rPr>
            <w:webHidden/>
          </w:rPr>
          <w:tab/>
        </w:r>
        <w:r>
          <w:rPr>
            <w:webHidden/>
          </w:rPr>
          <w:fldChar w:fldCharType="begin"/>
        </w:r>
        <w:r>
          <w:rPr>
            <w:webHidden/>
          </w:rPr>
          <w:instrText xml:space="preserve"> PAGEREF _Toc188888741 \h </w:instrText>
        </w:r>
        <w:r>
          <w:rPr>
            <w:webHidden/>
          </w:rPr>
        </w:r>
        <w:r>
          <w:rPr>
            <w:webHidden/>
          </w:rPr>
          <w:fldChar w:fldCharType="separate"/>
        </w:r>
        <w:r>
          <w:rPr>
            <w:webHidden/>
          </w:rPr>
          <w:t>32</w:t>
        </w:r>
        <w:r>
          <w:rPr>
            <w:webHidden/>
          </w:rPr>
          <w:fldChar w:fldCharType="end"/>
        </w:r>
      </w:hyperlink>
    </w:p>
    <w:p w14:paraId="28A4C8AF" w14:textId="77E1F54D"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2" w:history="1">
        <w:r w:rsidRPr="006D3BAC">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43.00. Alternatyvus sverto koeficiento pozicijų mato sudedamųjų dalių suskirstymas (LR4)</w:t>
        </w:r>
        <w:r>
          <w:rPr>
            <w:webHidden/>
          </w:rPr>
          <w:tab/>
        </w:r>
        <w:r>
          <w:rPr>
            <w:webHidden/>
          </w:rPr>
          <w:fldChar w:fldCharType="begin"/>
        </w:r>
        <w:r>
          <w:rPr>
            <w:webHidden/>
          </w:rPr>
          <w:instrText xml:space="preserve"> PAGEREF _Toc188888742 \h </w:instrText>
        </w:r>
        <w:r>
          <w:rPr>
            <w:webHidden/>
          </w:rPr>
        </w:r>
        <w:r>
          <w:rPr>
            <w:webHidden/>
          </w:rPr>
          <w:fldChar w:fldCharType="separate"/>
        </w:r>
        <w:r>
          <w:rPr>
            <w:webHidden/>
          </w:rPr>
          <w:t>44</w:t>
        </w:r>
        <w:r>
          <w:rPr>
            <w:webHidden/>
          </w:rPr>
          <w:fldChar w:fldCharType="end"/>
        </w:r>
      </w:hyperlink>
    </w:p>
    <w:p w14:paraId="54B397F9" w14:textId="41939B58"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3" w:history="1">
        <w:r w:rsidRPr="006D3BAC">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44.00. Bendroji informacija (LR5)</w:t>
        </w:r>
        <w:r>
          <w:rPr>
            <w:webHidden/>
          </w:rPr>
          <w:tab/>
        </w:r>
        <w:r>
          <w:rPr>
            <w:webHidden/>
          </w:rPr>
          <w:fldChar w:fldCharType="begin"/>
        </w:r>
        <w:r>
          <w:rPr>
            <w:webHidden/>
          </w:rPr>
          <w:instrText xml:space="preserve"> PAGEREF _Toc188888743 \h </w:instrText>
        </w:r>
        <w:r>
          <w:rPr>
            <w:webHidden/>
          </w:rPr>
        </w:r>
        <w:r>
          <w:rPr>
            <w:webHidden/>
          </w:rPr>
          <w:fldChar w:fldCharType="separate"/>
        </w:r>
        <w:r>
          <w:rPr>
            <w:webHidden/>
          </w:rPr>
          <w:t>67</w:t>
        </w:r>
        <w:r>
          <w:rPr>
            <w:webHidden/>
          </w:rPr>
          <w:fldChar w:fldCharType="end"/>
        </w:r>
      </w:hyperlink>
    </w:p>
    <w:p w14:paraId="08DA005B" w14:textId="1A7D9111"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4" w:history="1">
        <w:r w:rsidRPr="006D3BAC">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48.00. Sverto koeficiento kintamumas (LR6)</w:t>
        </w:r>
        <w:r>
          <w:rPr>
            <w:webHidden/>
          </w:rPr>
          <w:tab/>
        </w:r>
        <w:r>
          <w:rPr>
            <w:webHidden/>
          </w:rPr>
          <w:fldChar w:fldCharType="begin"/>
        </w:r>
        <w:r>
          <w:rPr>
            <w:webHidden/>
          </w:rPr>
          <w:instrText xml:space="preserve"> PAGEREF _Toc188888744 \h </w:instrText>
        </w:r>
        <w:r>
          <w:rPr>
            <w:webHidden/>
          </w:rPr>
        </w:r>
        <w:r>
          <w:rPr>
            <w:webHidden/>
          </w:rPr>
          <w:fldChar w:fldCharType="separate"/>
        </w:r>
        <w:r>
          <w:rPr>
            <w:webHidden/>
          </w:rPr>
          <w:t>69</w:t>
        </w:r>
        <w:r>
          <w:rPr>
            <w:webHidden/>
          </w:rPr>
          <w:fldChar w:fldCharType="end"/>
        </w:r>
      </w:hyperlink>
    </w:p>
    <w:p w14:paraId="2E4C4ED1" w14:textId="18B97D1F"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5" w:history="1">
        <w:r w:rsidRPr="006D3BAC">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48.01. Sverto koeficiento kintamumas. Sverto koeficiento kintamumas Ataskaitinio laikotarpio aritmetinis vidurkis</w:t>
        </w:r>
        <w:r>
          <w:rPr>
            <w:webHidden/>
          </w:rPr>
          <w:tab/>
        </w:r>
        <w:r>
          <w:rPr>
            <w:webHidden/>
          </w:rPr>
          <w:fldChar w:fldCharType="begin"/>
        </w:r>
        <w:r>
          <w:rPr>
            <w:webHidden/>
          </w:rPr>
          <w:instrText xml:space="preserve"> PAGEREF _Toc188888745 \h </w:instrText>
        </w:r>
        <w:r>
          <w:rPr>
            <w:webHidden/>
          </w:rPr>
        </w:r>
        <w:r>
          <w:rPr>
            <w:webHidden/>
          </w:rPr>
          <w:fldChar w:fldCharType="separate"/>
        </w:r>
        <w:r>
          <w:rPr>
            <w:webHidden/>
          </w:rPr>
          <w:t>69</w:t>
        </w:r>
        <w:r>
          <w:rPr>
            <w:webHidden/>
          </w:rPr>
          <w:fldChar w:fldCharType="end"/>
        </w:r>
      </w:hyperlink>
    </w:p>
    <w:p w14:paraId="407884C3" w14:textId="626F0CD9" w:rsidR="0006442A" w:rsidRDefault="0006442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8746" w:history="1">
        <w:r w:rsidRPr="006D3BAC">
          <w:rPr>
            <w:rStyle w:val="Hyperlink"/>
            <w:rFonts w:ascii="Times New Roman" w:hAnsi="Times New Roman"/>
          </w:rPr>
          <w:t>9.</w:t>
        </w:r>
        <w:r>
          <w:rPr>
            <w:rFonts w:asciiTheme="minorHAnsi" w:eastAsiaTheme="minorEastAsia" w:hAnsiTheme="minorHAnsi" w:cstheme="minorBidi"/>
            <w:b w:val="0"/>
            <w:smallCaps w:val="0"/>
            <w:kern w:val="2"/>
            <w:sz w:val="24"/>
            <w:szCs w:val="24"/>
            <w:lang w:val="en-IE" w:eastAsia="en-IE"/>
            <w14:ligatures w14:val="standardContextual"/>
          </w:rPr>
          <w:tab/>
        </w:r>
        <w:r w:rsidRPr="006D3BAC">
          <w:rPr>
            <w:rStyle w:val="Hyperlink"/>
            <w:rFonts w:ascii="Times New Roman" w:hAnsi="Times New Roman"/>
          </w:rPr>
          <w:t>C 48.02. Sverto koeficiento kintamumas. Ataskaitinio laikotarpio dienos vertės</w:t>
        </w:r>
        <w:r>
          <w:rPr>
            <w:webHidden/>
          </w:rPr>
          <w:tab/>
        </w:r>
        <w:r>
          <w:rPr>
            <w:webHidden/>
          </w:rPr>
          <w:fldChar w:fldCharType="begin"/>
        </w:r>
        <w:r>
          <w:rPr>
            <w:webHidden/>
          </w:rPr>
          <w:instrText xml:space="preserve"> PAGEREF _Toc188888746 \h </w:instrText>
        </w:r>
        <w:r>
          <w:rPr>
            <w:webHidden/>
          </w:rPr>
        </w:r>
        <w:r>
          <w:rPr>
            <w:webHidden/>
          </w:rPr>
          <w:fldChar w:fldCharType="separate"/>
        </w:r>
        <w:r>
          <w:rPr>
            <w:webHidden/>
          </w:rPr>
          <w:t>69</w:t>
        </w:r>
        <w:r>
          <w:rPr>
            <w:webHidden/>
          </w:rPr>
          <w:fldChar w:fldCharType="end"/>
        </w:r>
      </w:hyperlink>
    </w:p>
    <w:p w14:paraId="43D747E1" w14:textId="6A8A08B3"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88731"/>
      <w:r>
        <w:rPr>
          <w:rFonts w:ascii="Times New Roman" w:hAnsi="Times New Roman"/>
          <w:b/>
          <w:sz w:val="24"/>
        </w:rPr>
        <w:t>I DALIS.</w:t>
      </w:r>
      <w:bookmarkEnd w:id="0"/>
      <w:r>
        <w:rPr>
          <w:rFonts w:ascii="Times New Roman" w:hAnsi="Times New Roman"/>
          <w:b/>
          <w:sz w:val="24"/>
        </w:rPr>
        <w:t xml:space="preserve"> BENDRIEJI NURODYMAI</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88732"/>
      <w:r>
        <w:rPr>
          <w:rFonts w:ascii="Times New Roman" w:hAnsi="Times New Roman"/>
          <w:b/>
          <w:sz w:val="24"/>
        </w:rPr>
        <w:t>1.</w:t>
      </w:r>
      <w:r>
        <w:tab/>
      </w:r>
      <w:r>
        <w:rPr>
          <w:rFonts w:ascii="Times New Roman" w:hAnsi="Times New Roman"/>
          <w:b/>
          <w:sz w:val="24"/>
        </w:rPr>
        <w:t>Struktūra ir kita tvarka</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888733"/>
      <w:r>
        <w:rPr>
          <w:rFonts w:ascii="Times New Roman" w:hAnsi="Times New Roman"/>
          <w:b/>
          <w:sz w:val="24"/>
        </w:rPr>
        <w:t>1.1.</w:t>
      </w:r>
      <w:r>
        <w:tab/>
      </w:r>
      <w:bookmarkEnd w:id="11"/>
      <w:bookmarkEnd w:id="12"/>
      <w:bookmarkEnd w:id="13"/>
      <w:r>
        <w:rPr>
          <w:rFonts w:ascii="Times New Roman" w:hAnsi="Times New Roman"/>
          <w:b/>
          <w:sz w:val="24"/>
        </w:rPr>
        <w:t>Struktūra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Šiame priede pateikti papildomi su šio reglamento X priede pateiktomis formomis (toliau – LR) susiję nurodymai.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Sistemą iš viso sudaro penkios formos: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Sverto koeficiento apskaičiavimas (</w:t>
      </w:r>
      <w:proofErr w:type="spellStart"/>
      <w:r>
        <w:rPr>
          <w:sz w:val="24"/>
        </w:rPr>
        <w:t>LRCalc</w:t>
      </w:r>
      <w:proofErr w:type="spellEnd"/>
      <w:r>
        <w:rPr>
          <w:sz w:val="24"/>
        </w:rPr>
        <w:t>). Sverto koeficiento apskaičiavimas;</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1 sverto koeficiento forma (LR1). Alternatyvus pozicijos mato vertinimas;</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4 sverto koeficiento forma (LR4). Sverto koeficiento pozicijų mato sudedamųjų dalių alternatyvus suskirstymas;</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5 sverto koeficiento forma (LR5). Bendroji informacija;</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Sverto koeficiento kintamumas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Kiekvienos formos atveju pateikiamos nuorodos į teisės aktus, taip pat tolesnė išsami informacija apie bendresnius informacijos teikimo aspektus.</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88734"/>
      <w:bookmarkEnd w:id="17"/>
      <w:r>
        <w:rPr>
          <w:rFonts w:ascii="Times New Roman" w:hAnsi="Times New Roman"/>
          <w:b/>
          <w:sz w:val="24"/>
        </w:rPr>
        <w:t>1.2.</w:t>
      </w:r>
      <w:r>
        <w:tab/>
      </w:r>
      <w:r>
        <w:rPr>
          <w:rFonts w:ascii="Times New Roman" w:hAnsi="Times New Roman"/>
          <w:b/>
          <w:sz w:val="24"/>
        </w:rPr>
        <w:t>Numeravimo tvarka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Dokumente nurodant formų skiltis, eilutes ir laukelius taikoma tolesnėse dalyse nurodyta žymėjimo tvarka. Šie skaitiniai kodai plačiai naudojami patvirtinimo taisyklėse.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Nurodymuose laikomasi šios bendros žymėjimo tvarkos: {forma; eilutė; skiltis}. Norint nurodyti visą eilutę arba skiltį, naudojamas žvaigždutės ženklas.</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Kai tvirtinimas atliekamas formoje ir naudojami tik tos formos duomenų vienetai, žymint forma nenurodoma: {eilutė; skiltis}.</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Teikiant informaciją apie svertą žodžių junginiu „dalis, kurią atitinka“ nurodomas aukštesnio lygio pozicijų kategorijos pogrupio straipsnis, o žodžių junginiu „papildomas straipsnis“ – atskiras straipsnis, kuris nėra pozicijų klasės pogrupis. Jei nenurodyta kitaip, informaciją privaloma pateikti abiejų tipų laukeliuose.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88735"/>
      <w:r>
        <w:rPr>
          <w:rFonts w:ascii="Times New Roman" w:hAnsi="Times New Roman"/>
          <w:b/>
          <w:sz w:val="24"/>
        </w:rPr>
        <w:t>1.3.</w:t>
      </w:r>
      <w:r>
        <w:tab/>
      </w:r>
      <w:r>
        <w:rPr>
          <w:rFonts w:ascii="Times New Roman" w:hAnsi="Times New Roman"/>
          <w:b/>
          <w:sz w:val="24"/>
        </w:rPr>
        <w:t>Santrumpos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tab/>
      </w:r>
      <w:r>
        <w:rPr>
          <w:sz w:val="24"/>
        </w:rPr>
        <w:t>Šiame priede ir susijusiose formose naudojamos tokios santrumpos:</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tab/>
      </w:r>
      <w:r>
        <w:rPr>
          <w:sz w:val="24"/>
        </w:rPr>
        <w:t>VPĮFS – vertybinių popierių įsigijimo finansavimo sandorio santrumpa, kuri reiškia „atpirkimo sandorį, vertybinių popierių arba biržos prekių skolinimo ar skolinimosi sandorį arba garantinės įmokos skolinimo sandorį“, kaip nurodyta Reglamento (ES) Nr. 575/2013 4 straipsnio 1 dalies 139 punkte;</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tab/>
      </w:r>
      <w:r>
        <w:rPr>
          <w:sz w:val="24"/>
        </w:rPr>
        <w:t>KRM – kredito rizikos mažinimo santrumpa;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tab/>
      </w:r>
      <w:r>
        <w:rPr>
          <w:sz w:val="24"/>
        </w:rPr>
        <w:t>CVPD – centrinio vertybinių popierių depozitoriumo santrumpa;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tab/>
      </w:r>
      <w:r>
        <w:rPr>
          <w:sz w:val="24"/>
        </w:rPr>
        <w:t>QCCP – reikalavimus atitinkančios pagrindinės sandorio šalies santrumpa;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tab/>
      </w:r>
      <w:r>
        <w:rPr>
          <w:sz w:val="24"/>
        </w:rPr>
        <w:t>PFE – galimos būsimos pozicijos santrumpa.</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88736"/>
      <w:r>
        <w:rPr>
          <w:rFonts w:ascii="Times New Roman" w:hAnsi="Times New Roman"/>
          <w:b/>
          <w:sz w:val="24"/>
        </w:rPr>
        <w:t>1.4.</w:t>
      </w:r>
      <w:r>
        <w:tab/>
      </w:r>
      <w:r>
        <w:rPr>
          <w:rFonts w:ascii="Times New Roman" w:hAnsi="Times New Roman"/>
          <w:b/>
          <w:sz w:val="24"/>
        </w:rPr>
        <w:t>Ženklų tvarka</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Visos sumos pateikiamos kaip teigiami skaičiai.</w:t>
      </w:r>
      <w:bookmarkStart w:id="32" w:name="_Toc264033192"/>
      <w:bookmarkEnd w:id="32"/>
      <w:r>
        <w:rPr>
          <w:sz w:val="24"/>
        </w:rPr>
        <w:t xml:space="preserve"> Išskyrus:</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prieš straipsnio pavadinimą įrašytas minuso ženklas (–) reiškia prielaidą, kad tame straipsnyje teigiamas skaičius nebus rašomas.</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laukeliuose nurodomos teigiamos vertės, o neigiamos vertės galėtų būti nurodomos tik kraštutiniais atvejais.</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888737"/>
      <w:r>
        <w:rPr>
          <w:rFonts w:ascii="Times New Roman" w:hAnsi="Times New Roman"/>
          <w:b/>
          <w:sz w:val="24"/>
        </w:rPr>
        <w:lastRenderedPageBreak/>
        <w:t>II DALIS. SU FORMA SUSIJĘ NURODYMAI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888738"/>
      <w:r>
        <w:rPr>
          <w:rFonts w:ascii="Times New Roman" w:hAnsi="Times New Roman"/>
          <w:b/>
          <w:sz w:val="24"/>
        </w:rPr>
        <w:t>1.</w:t>
      </w:r>
      <w:r>
        <w:tab/>
      </w:r>
      <w:r>
        <w:rPr>
          <w:rFonts w:ascii="Times New Roman" w:hAnsi="Times New Roman"/>
          <w:b/>
          <w:sz w:val="24"/>
        </w:rPr>
        <w:t>Sverto koeficiento apskaičiavimo formulės</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Sverto koeficientas pagrįstas kapitalo matu ir bendru pozicijų matu, kuriuos galima apskaičiuoti taikant </w:t>
      </w:r>
      <w:proofErr w:type="spellStart"/>
      <w:r>
        <w:rPr>
          <w:rFonts w:ascii="Times New Roman" w:hAnsi="Times New Roman"/>
          <w:sz w:val="24"/>
        </w:rPr>
        <w:t>LRCalc</w:t>
      </w:r>
      <w:proofErr w:type="spellEnd"/>
      <w:r>
        <w:rPr>
          <w:rFonts w:ascii="Times New Roman" w:hAnsi="Times New Roman"/>
          <w:sz w:val="24"/>
        </w:rPr>
        <w:t xml:space="preserve"> laukelius.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Sverto koeficientas – visiškai įdiegta apibrėžtis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Sverto koeficientas – pereinamojo laikotarpio apibrėžtis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888739"/>
      <w:bookmarkEnd w:id="39"/>
      <w:r>
        <w:rPr>
          <w:rFonts w:ascii="Times New Roman" w:hAnsi="Times New Roman"/>
          <w:b/>
          <w:sz w:val="24"/>
        </w:rPr>
        <w:t>2.</w:t>
      </w:r>
      <w:r>
        <w:tab/>
      </w:r>
      <w:r>
        <w:rPr>
          <w:rFonts w:ascii="Times New Roman" w:hAnsi="Times New Roman"/>
          <w:b/>
          <w:sz w:val="24"/>
        </w:rPr>
        <w:t>Išvestinių finansinių priemonių reikšmingumo ribinės vertės</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Siekiant sumažinti nedideles išvestinių finansinių priemonių pozicijas turinčių įstaigų informacijos teikimo naštą, santykinei išvestinių finansinių priemonių pozicijų svarbai nustatyti atsižvelgiant į visą sverto koeficiento poziciją taikomi toliau nurodyti matai. Šiuos matus įstaigos apskaičiuoja taip</w:t>
      </w:r>
      <w:bookmarkStart w:id="45" w:name="_Toc322533853"/>
      <w:bookmarkEnd w:id="43"/>
      <w:r>
        <w:rPr>
          <w:rFonts w:ascii="Times New Roman" w:hAnsi="Times New Roman"/>
          <w:sz w:val="24"/>
        </w:rPr>
        <w:t>:</w:t>
      </w:r>
    </w:p>
    <w:p w14:paraId="1388E099" w14:textId="7506A2DB"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 xml:space="preserve">Išvestinių finansinių priemonių dalis = </w:t>
      </w:r>
      <m:oMath>
        <m:f>
          <m:fPr>
            <m:ctrlPr>
              <w:rPr>
                <w:rFonts w:ascii="Cambria Math" w:hAnsi="Times New Roman"/>
                <w:sz w:val="24"/>
                <w:szCs w:val="24"/>
              </w:rPr>
            </m:ctrlPr>
          </m:fPr>
          <m:num>
            <m:r>
              <m:rPr>
                <m:sty m:val="p"/>
              </m:rPr>
              <w:rPr>
                <w:rFonts w:ascii="Cambria Math" w:hAnsi="Times New Roman"/>
                <w:sz w:val="24"/>
                <w:szCs w:val="24"/>
              </w:rPr>
              <m:t>i</m:t>
            </m:r>
            <m:r>
              <m:rPr>
                <m:sty m:val="p"/>
              </m:rPr>
              <w:rPr>
                <w:rFonts w:ascii="Cambria Math" w:hAnsi="Times New Roman"/>
                <w:sz w:val="24"/>
                <w:szCs w:val="24"/>
              </w:rPr>
              <m:t>š</m:t>
            </m:r>
            <m:r>
              <m:rPr>
                <m:sty m:val="p"/>
              </m:rPr>
              <w:rPr>
                <w:rFonts w:ascii="Cambria Math" w:hAnsi="Times New Roman"/>
                <w:sz w:val="24"/>
                <w:szCs w:val="24"/>
              </w:rPr>
              <m:t>vestini</m:t>
            </m:r>
            <m:r>
              <m:rPr>
                <m:sty m:val="p"/>
              </m:rPr>
              <w:rPr>
                <w:rFonts w:ascii="Cambria Math" w:hAnsi="Times New Roman"/>
                <w:sz w:val="24"/>
                <w:szCs w:val="24"/>
              </w:rPr>
              <m:t>ų</m:t>
            </m:r>
            <m:r>
              <m:rPr>
                <m:sty m:val="p"/>
              </m:rPr>
              <w:rPr>
                <w:rFonts w:ascii="Cambria Math" w:hAnsi="Times New Roman"/>
                <w:sz w:val="24"/>
                <w:szCs w:val="24"/>
              </w:rPr>
              <m:t xml:space="preserve"> finansini</m:t>
            </m:r>
            <m:r>
              <m:rPr>
                <m:sty m:val="p"/>
              </m:rPr>
              <w:rPr>
                <w:rFonts w:ascii="Cambria Math" w:hAnsi="Times New Roman"/>
                <w:sz w:val="24"/>
                <w:szCs w:val="24"/>
              </w:rPr>
              <m:t>ų</m:t>
            </m:r>
            <m:r>
              <m:rPr>
                <m:sty m:val="p"/>
              </m:rPr>
              <w:rPr>
                <w:rFonts w:ascii="Cambria Math" w:hAnsi="Times New Roman"/>
                <w:sz w:val="24"/>
                <w:szCs w:val="24"/>
              </w:rPr>
              <m:t xml:space="preserve"> priemoni</m:t>
            </m:r>
            <m:r>
              <m:rPr>
                <m:sty m:val="p"/>
              </m:rPr>
              <w:rPr>
                <w:rFonts w:ascii="Cambria Math" w:hAnsi="Times New Roman"/>
                <w:sz w:val="24"/>
                <w:szCs w:val="24"/>
              </w:rPr>
              <m:t>ų</m:t>
            </m:r>
            <m:r>
              <m:rPr>
                <m:sty m:val="p"/>
              </m:rPr>
              <w:rPr>
                <w:rFonts w:ascii="Cambria Math" w:hAnsi="Times New Roman"/>
                <w:sz w:val="24"/>
                <w:szCs w:val="24"/>
              </w:rPr>
              <m:t xml:space="preserve"> pozicij</m:t>
            </m:r>
            <m:r>
              <m:rPr>
                <m:sty m:val="p"/>
              </m:rPr>
              <w:rPr>
                <w:rFonts w:ascii="Cambria Math" w:hAnsi="Times New Roman"/>
                <w:sz w:val="24"/>
                <w:szCs w:val="24"/>
              </w:rPr>
              <m:t>ų</m:t>
            </m:r>
            <m:r>
              <m:rPr>
                <m:sty m:val="p"/>
              </m:rPr>
              <w:rPr>
                <w:rFonts w:ascii="Cambria Math" w:hAnsi="Times New Roman"/>
                <w:sz w:val="24"/>
                <w:szCs w:val="24"/>
              </w:rPr>
              <m:t xml:space="preserve"> matas</m:t>
            </m:r>
          </m:num>
          <m:den>
            <m:r>
              <m:rPr>
                <m:sty m:val="p"/>
              </m:rPr>
              <w:rPr>
                <w:rFonts w:ascii="Cambria Math" w:hAnsi="Times New Roman"/>
                <w:sz w:val="24"/>
                <w:szCs w:val="24"/>
              </w:rPr>
              <m:t>bendras pozicij</m:t>
            </m:r>
            <m:r>
              <m:rPr>
                <m:sty m:val="p"/>
              </m:rPr>
              <w:rPr>
                <w:rFonts w:ascii="Cambria Math" w:hAnsi="Times New Roman"/>
                <w:sz w:val="24"/>
                <w:szCs w:val="24"/>
              </w:rPr>
              <m:t>ų</m:t>
            </m:r>
            <m:r>
              <m:rPr>
                <m:sty m:val="p"/>
              </m:rPr>
              <w:rPr>
                <w:rFonts w:ascii="Cambria Math" w:hAnsi="Times New Roman"/>
                <w:sz w:val="24"/>
                <w:szCs w:val="24"/>
              </w:rPr>
              <m:t xml:space="preserve"> matas</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Šioje formulėje išvestinių finansinių priemonių pozicijų matas yra lygus: {LRCalc;0061;0010} + {LRCalc;0065;0010} + {LRCalc;0071;0010} + {LRCalc;0081;0010} + {LRCalc;0091;0010} + {LRCalc;0092;0010} + {LRCalc;0093;0010} + {LRCalc;0101;0010} + {LRCalc;0102;0010} + {LRCalc;0103;0010} + {LRCalc;0104;0010} + {LRCalc;0110;0010} + {LRCalc;0120;0010} + {LRCalc;0130;0010} + {LRCalc;0140;0010}.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Šioje formulėje bendras pozicijų matas yra lygus: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Bendra tariamoji suma, kuria grindžiamos išvestinės finansinės priemonės = {LR1; 0010;0070}. Tai laukelis, kurį įstaigos visada turi nurodyti.</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Kredito išvestinių finansinių priemonių apimtis = {LR1;0020;0070} + {LR1;0050;0070}. Tai laukeliai, kuriuos įstaigos visada turi nurodyti.</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13 punkte nurodytų laukelių informaciją įstaigos turi pateikti, jei tenkinama bet kuri iš šių sąlygų:</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5 punkte nurodyta išvestinių finansinių priemonių dalis yra didesnė nei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5 punkte nurodyta išvestinių finansinių priemonių dalis viršija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Taikomi šio Reglamento 4 straipsnio prievolės taikymo ir netaikymo kriterijai, išskyrus b punkto atveju, kai įstaigos pradeda teikti informaciją nuo kitos ataskaitinės datos, jeigu jos vieną ataskaitinę datą viršijo ribinę vertę.</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tab/>
      </w:r>
      <w:r>
        <w:rPr>
          <w:rFonts w:ascii="Times New Roman" w:hAnsi="Times New Roman"/>
          <w:sz w:val="24"/>
        </w:rPr>
        <w:t>Įstaigos, kurių atveju bendra tariamoji suma, kuria grindžiamos išvestinės finansinės priemonės, kaip apibrėžta 8 punkte, viršija 10 mlrd. EUR, 13 punkte nurodytų laukelių informaciją turi pateikti, net jei jų išvestinių finansinių priemonių dalis neatitinka 10 punkte aprašytų sąlygų.</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rPr>
        <w:t>Šio reglamento 4 straipsnio prievolės taikymo kriterijai netaikomi. Įstaigos pradeda teikti informaciją nuo kitos ataskaitinės datos, jeigu jos vieną ataskaitinę datą viršijo ribinę vertę.</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14 punkte nurodytų laukelių informaciją įstaigos turi pateikti, jei tenkinama bet kuri iš šių sąlygų:</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9 punkte nurodyta kredito išvestinių finansinių priemonių apimtis viršija 300 mln.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9 punkte nurodyta kredito išvestinių finansinių priemonių apimtis viršija 500 mln. EUR.</w:t>
      </w:r>
    </w:p>
    <w:p w14:paraId="3B88084F" w14:textId="34241752" w:rsidR="00F4754B" w:rsidRPr="000B66BC" w:rsidRDefault="00242493" w:rsidP="000B66BC">
      <w:pPr>
        <w:pStyle w:val="InstructionsText2"/>
        <w:numPr>
          <w:ilvl w:val="0"/>
          <w:numId w:val="0"/>
        </w:numPr>
        <w:ind w:left="709" w:firstLine="11"/>
        <w:rPr>
          <w:sz w:val="24"/>
        </w:rPr>
      </w:pPr>
      <w:r>
        <w:rPr>
          <w:sz w:val="24"/>
        </w:rPr>
        <w:t>Taikomi šio Reglamento 4 straipsnio prievolės taikymo ir netaikymo kriterijai, išskyrus b punkto atveju, kai įstaigos pradeda teikti informaciją nuo kitos ataskaitinės datos, jeigu jos vieną ataskaitinę datą viršijo ribinę vertę.</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Laukeliai, kurių informaciją įstaigos turi pateikti pagal 10 ir 11 punktus: {LR1;0010;0010}, {LR1;0010;0020}, {LR1;0020;0010}, {LR1;0020;0020}, {LR1;0030;0070}, {LR1;0040;0070}, {LR1;0050;0010}, {LR1;0050;0020}, {LR1;0060;0010}, {LR1;0060;0020}, ir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Laukeliai, kurių informaciją įstaigos turi pateikti pagal 12 punktą: {LR1;0020;0075}, {LR1;0050;0075} ir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888740"/>
      <w:bookmarkEnd w:id="46"/>
      <w:r>
        <w:rPr>
          <w:rFonts w:ascii="Times New Roman" w:hAnsi="Times New Roman"/>
          <w:b/>
          <w:sz w:val="24"/>
        </w:rPr>
        <w:t>3.</w:t>
      </w:r>
      <w:r>
        <w:tab/>
      </w:r>
      <w:r>
        <w:rPr>
          <w:rFonts w:ascii="Times New Roman" w:hAnsi="Times New Roman"/>
          <w:b/>
          <w:sz w:val="24"/>
        </w:rPr>
        <w:t>C 47.00. Sverto koeficiento apskaičiavimas</w:t>
      </w:r>
      <w:bookmarkEnd w:id="47"/>
      <w:bookmarkEnd w:id="48"/>
      <w:r>
        <w:rPr>
          <w:rFonts w:ascii="Times New Roman" w:hAnsi="Times New Roman"/>
          <w:b/>
          <w:sz w:val="24"/>
        </w:rPr>
        <w:t xml:space="preserve"> (</w:t>
      </w:r>
      <w:proofErr w:type="spellStart"/>
      <w:r>
        <w:rPr>
          <w:rFonts w:ascii="Times New Roman" w:hAnsi="Times New Roman"/>
          <w:b/>
          <w:sz w:val="24"/>
        </w:rPr>
        <w:t>LRCalc</w:t>
      </w:r>
      <w:proofErr w:type="spellEnd"/>
      <w:r>
        <w:rPr>
          <w:rFonts w:ascii="Times New Roman" w:hAnsi="Times New Roman"/>
          <w:b/>
          <w:sz w:val="24"/>
        </w:rPr>
        <w:t>)</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Šioje formoje renkami duomenys, kurių reikia sverto koeficientui apskaičiuoti, kaip nustatyta Reglamento (ES) Nr. 575/2013 septintoje dalyje.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Įstaigos informaciją apie sverto koeficientą teikia kas ketvirtį. Kiekvieną ketvirtį vertė „ataskaitinę datą“ atitinka atitinkamo ketvirčio trečiojo mėnesio paskutinės kalendorinės dienos vertę.</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Įstaigos informaciją apie Pozicijų verčių skirsnio straipsnius pateikia su teigiamu ženklu pagal šio priedo I dalies 9 punkte nurodytą ženklų tvarką (išskyrus {LRCalc;0270;0010} ir {LRCalc;0280;0010}), tarsi straipsniai su neigiamu ženklu (pavyzdžiui, išimtys ir (arba) atskaitymai) pagal šio priedo I dalies 9 punkte nurodytą ženklų tvarką nebūtų taikomi.</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Bet kuri suma, dėl kurios nuosavos lėšos arba sverto koeficiento pozicija didėja, nurodoma teigiamu skaičiumi. Priešingai – bet kuri suma, dėl kurios bendra nuosavų lėšų suma arba sverto koeficiento pozicija mažėja, nurodoma neigiamu skaičiumi. Prieš straipsnio pavadinimą įrašytas minuso ženklas (–) reiškia prielaidą, kad tame straipsnyje teigiamas skaičius nebus rašomas.</w:t>
      </w:r>
    </w:p>
    <w:p w14:paraId="69E62B50" w14:textId="0E030492" w:rsidR="00EC3422" w:rsidRPr="000B66BC" w:rsidRDefault="006A4991" w:rsidP="009339D1">
      <w:pPr>
        <w:pStyle w:val="InstructionsText2"/>
        <w:numPr>
          <w:ilvl w:val="0"/>
          <w:numId w:val="0"/>
        </w:numPr>
        <w:ind w:left="720" w:hanging="360"/>
        <w:rPr>
          <w:sz w:val="24"/>
        </w:rPr>
      </w:pPr>
      <w:r>
        <w:rPr>
          <w:sz w:val="24"/>
        </w:rPr>
        <w:lastRenderedPageBreak/>
        <w:t>19. Jeigu suma galėtų būti atskaitoma dėl kelių priežasčių, suma sumažinama tik iš pozicijos, nurodytos vienoje iš C47.00 formos eilučių.</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Nuorodos į teisės aktus ir nurodymai</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Eilutė ir skiltis</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Pozicijų vertės</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VPĮFS. Pozicijos vertė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Reglamento (ES) Nr. 575/2013 429b straipsnio 1 dalies b punktas ir 4 bei 5 dalys.</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VPĮFS pozicija, apskaičiuota pagal Reglamento (ES) Nr. 575/2013 429b straipsnio 1 dalies b punktą ir 4 bei 5 dalis.</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nurodo sandorius pagal Reglamento (ES) Nr. 575/2013 429e straipsnio 7 dalies c punktą.</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Į šį laukelį įstaigos neįtraukia gautų pinigų arba garantijų, pateiktų sandorio šaliai pagal pirmiau minėtus sandorius ir nurodytų balanse (t. y. neįvykdyti pripažinimo nutraukimo apskaitos kriterijai). Šiuos straipsnius įstaigos įtraukia į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Reglamento (ES) Nr. 575/2013 429e straipsnio 7 dalies a punktą.</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VPĮFS. Papildomas mokestis dėl sandorio šalies kredito rizikos</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429e straipsnio 1 dalis.</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Papildomas mokestis dėl VPĮFS (įskaitant į balansą neįtrauktus sandorius) sandorio šalies kredito rizikos, atitinkamai nustatytas pagal Reglamento (ES) Nr. 575/2013 429e straipsnio 2 arba 3 ir 4 dalį.</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nurodo sandorius pagal Reglamento (ES) Nr. 575/2013 429e straipsnio 7 dalies c punktą.</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Reglamento (ES) Nr. 575/2013 429e straipsnio 7 dalies a punktą. Šiuos straipsnius įstaigos įtraukia į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VPĮFS skirta nukrypti leidžianti nuostata. Papildomas mokestis pagal KRR 429e straipsnio 5 dalį ir 222 straipsnį</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Reglamento (ES) Nr. 575/2013 429e straipsnio 5 dalis ir 222 straipsnis.</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VPĮFS (įskaitant į balansą neįtrauktus sandorius) pozicijos vertė, apskaičiuota pagal Reglamento (ES) Nr. 575/2013 222 straipsnį, taikant 20 % apatinę ribą taikytinam rizikos koeficientui.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nurodo sandorius pagal Reglamento (ES) Nr. 575/2013 429e straipsnio 7 dalies c punktą.</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nenurodo sandorių, kurių sverto koeficiento pozicijos vertės papildomo mokesčio dalis nustatoma pagal Reglamento (ES) Nr. 575/2013 429e straipsnio 1 dalyje nurodytą metodą.</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VPĮFS tarpininkų sandorio šalies kredito rizika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429e straipsnio 7 dalies a punktas ir 2 bei 3 dalys.</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Tarpininkų VPĮFS pozicijos vertė, jeigu įstaiga klientui arba sandorio šaliai suteikia žalos atlyginimo draudimą arba garantiją, apribotą bet kokiu vertybinių popierių arba pinigų, kuriuos klientas paskolino, vertės ir užtikrinimo priemonės, kurią suteikė skolininkas, vertės skirtumu pagal Reglamento (ES) Nr. 575/2013 429e straipsnio 7 dalies a punktą, kurį sudaro tik papildomas mokestis, atitinkamai nustatytas pagal Reglamento (ES) Nr. 575/2013 429e straipsnio 2 arba 3 dalį.</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Į šį laukelį įstaigos neįtraukia sandorių pagal 429e straipsnio 7 dalies c punktą. Šiuos duomenis įstaigos atitinkamai įtraukia į {0010;0010} ir {0020;0010} arba {0010;0010} ir {0030;0010} laukelius.</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Kliento VPĮFS pozicijų, kurių tarpuskaitą atlieka pagrindinė sandorio šalis, dalis, kuriai taikoma išimtis</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g punktas ir 306 straipsnio 1 dalies c punktas.</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Kliento VPĮFS prekybos pozicijų, kurių tarpuskaitą atlieka pagrindinė sandorio šalis, dalis, kuriai taikoma išimtis, jeigu tie straipsniai atitinka Reglamento (ES) Nr. 575/2013 306 straipsnio 1 dalies c punkte nurodytas sąlygas.</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Kai pozicijų, kurių tarpuskaitą atlieka pagrindinė sandorio šalis, dalis, kuriai taikoma išimtis, yra garantija, ji nenurodoma šiame laukelyje, nebent tai yra dar kartą įkeista garantija, kuri pagal taikytiną apskaitos sistemą (t. y. pagal Reglamento (ES) Nr. 575/2013 111 straipsnio 1 dalies pirmą sakinį) yra įtraukiama visa verte.</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 xml:space="preserve">Įstaigos taip pat įtraukia šiame laukelyje nurodytą sumą į {0010;0010}, {0020;0010} ir {0030;0010} laukelius taip, lyg išimtis nebūtų taikoma, o jei </w:t>
            </w:r>
            <w:r>
              <w:rPr>
                <w:rFonts w:ascii="Times New Roman" w:hAnsi="Times New Roman"/>
                <w:sz w:val="24"/>
              </w:rPr>
              <w:lastRenderedPageBreak/>
              <w:t>tai yra dar kartą įkeista garantija, kuri pagal taikytiną apskaitos sistemą yra įtraukiama visa verte – ir į {0190;0010} laukelį.</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Jeigu įstaiga suteikė pradinę garantinę įmoką už VPĮFS dalį, kuriai taikoma išimtis ir kuri nurodyta {0190;0010} laukelyje, bet nenurodyta {0020;0010} arba {0030;0010} laukelyje, tuomet įstaiga gali nurodyti minėtą garantinę įmoką šiame laukelyje.</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Išvestinės finansinės priemonės. Pakeitimo išlaidų indėlis pagal SA-CCR metodą (be užtikrinimo priemonės poveikio grynajai nepriklausomai užtikrinimo priemonės sumai,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1 dalis.</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275 straipsnyje nurodytos pakeitimo išlaidos be užtikrinimo priemonės poveikio NICA sumai ir be jokios kintamosios garantinės įmokos poveikio. Pildydamos šį laukelį įstaigos netaiko Reglamento (ES) Nr. 575/2013 429c straipsnio 3 ir 4 dalyse ir 429a straipsnio 1 dalies g punkte nustatytų nukrypti leidžiančių nuostatų. Suma nurodoma pritaikius 1,4 alfa koeficientą, kaip nurodyta Reglamento (ES) Nr. 575/2013 274 straipsnio 2 dalyje.</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Kaip nustatyta Reglamento (ES) Nr. 575/2013 429c straipsnio 1 dalyje, įstaigos pagal Reglamento (ES) Nr. 575/2013 295 straipsnį gali atsižvelgti į novacijų sutarčių ir kitų užskaitos susitarimų poveikį. Kryžminė produktų užskaita netaikoma. Tačiau įstaigos Reglamento (ES) Nr. 575/2013 272 straipsnio 25 punkto c papunktyje nurodytos kategorijos priemones ir kredito išvestines finansines priemones gali užskaityti, kai joms taikomas Reglamento (ES) Nr. 575/2013 295 straipsnio c punkte nurodytas sutartinės kryžminės produktų užskaitos susitarimas.</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Įstaigos įtraukia visas kredito išvestines finansines priemones, ne vien tas, kurios yra prekybos knygoje.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Į šį laukelį įstaigos neįtraukia sutarčių, įvertintų taikant supaprastintą standartizuotą metodą arba pradinės pozicijos metodą.</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Užtikrinimo priemonės pripažinimo apskaičiuojant grynąją nepriklausomą užtikrinimo priemonės sumą (NICA) poveikis kliento sandoriams, kurių tarpuskaitą atlieka reikalavimus atitinkanti pagrindinė sandorio šalis (SA-CCR; pakeitimo išlaidos)</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4 dalis ir 429c straipsnio 4a dalis.</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 xml:space="preserve">Apskaičiuojant išvestinių finansinių priemonių sutarčių su klientais pakeitimo išlaidas, kai tokių sutarčių tarpuskaitą atlieka reikalavimus atitinkanti pagrindinė sandorio šalis, taikoma Reglamento (ES) Nr. 575/2013 429c straipsnio 4 dalyje nustatyta nukrypti leidžianti nuostata ir </w:t>
            </w:r>
            <w:r>
              <w:rPr>
                <w:rFonts w:ascii="Times New Roman" w:hAnsi="Times New Roman"/>
                <w:sz w:val="24"/>
              </w:rPr>
              <w:lastRenderedPageBreak/>
              <w:t>429c straipsnio 4a dalis. Suma nurodoma pritaikius 1,4 alfa koeficientą, kaip nurodyta Reglamento (ES) Nr. 575/2013 274 straipsnio 2 dalyje.</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Įstaigos taip pat įtraukia šiame laukelyje nurodytą sumą į {0061;0010} laukelį taip, lyg nukrypti leidžianti nuostata nebūtų taikoma.</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Tinkamos gautos piniginės kintamosios garantinės įmokos, atimtos iš išvestinių finansinių priemonių rinkos vertės, poveikis (SA-CCR; pakeitimo išlaidos)</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3 dalis.</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Iš sandorio šalies pinigais gauta kintamoji garantinė įmoka, kuria pagal Reglamento (ES) Nr. 575/2013 429c straipsnio 3 dalį galima kompensuoti išvestinių finansinių priemonių pozicijos dabartinių pakeitimo išlaidų dalį. Suma nurodoma pritaikius 1,4 alfa koeficientą, kaip nurodyta Reglamento (ES) Nr. 575/2013 274 straipsnio 2 dalyje.</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Nenurodoma jokia piniginė kintamoji garantinė įmoka, gauta už pagrindinės sandorio šalies pozicijos dalį, kuriai taikoma išimtis pagal Reglamento (ES) Nr. 575/2013 429a straipsnio 1 dalies g punktą.</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{0061;0010} laukelį taip, lyg piniginė kintamoji garantinė įmoka nėra atskaitoma.</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Kliento prekybos pozicijų, kurių tarpuskaitą atlieka pagrindinė sandorio šalis, dalies, kuriai taikoma išimtis, poveikis (SA-CCR; pakeitimo išlaidos)</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Deleguotojo reglamento (ES) Nr. 575/2013 429a straipsnio 1 dalies g punktas.</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Reikalavimus atitinkančios pagrindinės sandorio šalies prekybos pozicijų, atsiradusių dėl kliento išvestinių finansinių priemonių sandorių tarpuskaitos, kurioms taikoma išimtis, jeigu tie elementai atitinka Reglamento (ES) Nr. 575/2013 306 straipsnio 1 dalies c punkte nustatytas sąlygas, pakeitimo išlaidų dalis. Ši suma nurodoma neatėmus už šią dalį gautos piniginės kintamosios garantinės įmokos. Suma nurodoma pritaikius 1,4 alfa koeficientą, kaip nurodyta Reglamento (ES) Nr. 575/2013 274 straipsnio 2 dalyje.</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{0061;0010} laukelį taip, lyg išimtis nebūtų taikoma.</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Išvestinės finansinės priemonės. Galimos būsimos pozicijos indėlis pagal SA-CCR metodą (koeficientas –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5 dalis.</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Reglamento (ES) Nr. 575/2013 278 straipsnyje nurodyta galima būsima pozicija, kuriai taikomas koeficientas lygus 1, t. y. netaikoma Reglamento </w:t>
            </w:r>
            <w:r>
              <w:rPr>
                <w:rFonts w:ascii="Times New Roman" w:hAnsi="Times New Roman"/>
                <w:sz w:val="24"/>
              </w:rPr>
              <w:lastRenderedPageBreak/>
              <w:t>(ES) Nr. 575/2013 429c straipsnio 5 dalyje numatyta nukrypti leidžianti nuostata dėl sutarčių su klientais, kai tokių sutarčių tarpuskaitą atlieka reikalavimus atitinkanti pagrindinė sandorio šalis. Suma nurodoma pritaikius 1,4 alfa koeficientą, kaip nurodyta Reglamento (ES) Nr. 575/2013 274 straipsnio 2 dalyje.</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Kliento sandorių, kurių tarpuskaitą atlieka reikalavimus atitinkanti pagrindinė sandorio šalis, mažesnio koeficiento poveikis galimos būsimos pozicijos indėliui (SA-CCR; galima būsima pozicija)</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5 dalis.</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Apskaičiuojant išvestinių finansinių priemonių galimą būsimą poziciją, kai tokių sutarčių tarpuskaitą atlieka reikalavimus atitinkanti pagrindinė sandorio šalis, taikoma Reglamento (ES) Nr. 575/2013 429c straipsnio 5 dalyje nustatyta nukrypti leidžianti nuostata. Suma nurodoma pritaikius 1,4 alfa koeficientą, kaip nurodyta Reglamento (ES) Nr. 575/2013 274 straipsnio 2 dalyje.</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{0091;0010} laukelį taip, lyg nukrypti leidžianti nuostata nebūtų taikoma.</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Kliento prekybos pozicijų, kurių tarpuskaitą atlieka pagrindinė sandorio šalis, dalies, kuriai taikoma išimtis, poveikis (SA-CCR metodas; galima būsima pozicija)</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Deleguotojo reglamento (ES) Nr. 575/2013 429a straipsnio 1 dalies g punktas.</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Reikalavimus atitinkančios pagrindinės sandorio šalies prekybos pozicijų, atsiradusių dėl kliento išvestinių finansinių priemonių sandorių tarpuskaitos, kurioms taikoma išimtis, jeigu tie elementai atitinka Reglamento (ES) Nr. 575/2013 306 straipsnio 1 dalies c punkte nustatytas sąlygas, galima būsima pozicija. Suma nurodoma pritaikius 1,4 alfa koeficientą, kaip nurodyta Reglamento (ES) Nr. 575/2013 274 straipsnio 2 dalyje.</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{0091;0010} laukelį taip, lyg išimtis nebūtų taikoma.</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Išvestinėms finansinėms priemonėms skirta nukrypti leidžianti nuostata. Pakeitimo išlaidų indėlis pagal supaprastintą standartizuotą metodą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6 dalis ir 281 straipsnis.</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Šiame laukelyje nurodomas Reglamento (ES) Nr. 575/2013 II priedo 1 ir 2 punktuose išvardytų sutarčių pozicijų matas, apskaičiuotas pagal supaprastintą standartizuotą metodą, nurodytą Reglamento (ES) Nr. 575/2013 281 straipsnyje. Suma nurodoma pritaikius 1,4 alfa koeficientą, kaip nurodyta Reglamento (ES) Nr. 575/2013 274 straipsnio 2 dalyje.</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Supaprastintą standartizuotą metodą taikančios įstaigos bendro pozicijų mato nemažina gautos garantinės įmokos suma pagal Reglamento (ES) Nr. 575/2013 429c straipsnio 6 dalį. Todėl Reglamento (ES) Nr. 575/2013 429c straipsnio 4 dalyje nustatyta išimtis išvestinių finansinių priemonių sutarčių su klientais atveju, kai tokių sutarčių tarpuskaitą atlieka reikalavimus atitinkanti pagrindinė sandorio šalis, netaikoma.</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Į šį laukelį įstaigos neįtraukia sutarčių, įvertintų taikant SA-CCR metodą arba pradinės pozicijos metodą.</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lastRenderedPageBreak/>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Kliento prekybos pozicijų, kurių tarpuskaitą atlieka pagrindinė sandorio šalis, dalies, kuriai taikoma išimtis, poveikis (supaprastintas standartizuotas metodas; pakeitimo išlaidos)</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Deleguotojo reglamento (ES) Nr. 575/2013 429a straipsnio 1 dalies g punktas.</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Reikalavimus atitinkančios pagrindinės sandorio šalies prekybos pozicijų, atsiradusių dėl kliento išvestinių finansinių priemonių sandorių tarpuskaitos, kurioms taikoma išimtis, jeigu tie elementai atitinka Reglamento (ES) Nr. 575/2013 306 straipsnio 1 dalies c punkte nustatytas sąlygas, pakeitimo išlaidų dalis. Ši suma nurodoma neatėmus už šią dalį gautos piniginės kintamosios garantinės įmokos. Suma nurodoma pritaikius 1,4 alfa koeficientą, kaip nurodyta Reglamento (ES) Nr. 575/2013 274 straipsnio 2 dalyje.</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{0101;0010} laukelį taip, lyg išimtis nebūtų taikoma.</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Išvestinėms finansinėms priemonėms skirta nukrypti leidžianti nuostata. Galimos būsimos pozicijos indėlis pagal supaprastintą standartizuotą metodą (koeficientas –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Reglamento (ES) Nr. 575/2013 281 straipsnio 2 dalies f punktas ir 429c straipsnio 6 dalis. Galima būsima pozicija, apskaičiuota pagal supaprastintą standartizuotą metodą, nustatytą Reglamento (ES) Nr. 575/2013 281 straipsnyje, kuriai taikomas koeficientas lygus 1. Suma nurodoma pritaikius 1,4 alfa koeficientą, kaip nurodyta Reglamento (ES) Nr. 575/2013 274 straipsnio 2 dalyje.</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Supaprastintą standartizuotą metodą taikančios įstaigos bendro pozicijų mato nemažina gautos garantinės įmokos suma pagal Reglamento (ES) Nr. 575/2013 429c straipsnio 6 dalį.</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Kliento prekybos pozicijų, kurių tarpuskaitą atlieka pagrindinė sandorio šalis, dalies, kuriai taikoma išimtis, poveikis (supaprastintas standartizuotas metodas; galima būsima pozicija)</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Deleguotojo reglamento (ES) Nr. 575/2013 429a straipsnio 1 dalies g punktas.</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Reikalavimus atitinkančios pagrindinės sandorio šalies prekybos pozicijų, atsiradusių dėl kliento išvestinių finansinių priemonių sandorių tarpuskaitos, kurioms taikoma išimtis, jeigu tie elementai atitinka Reglamento (ES) Nr. 575/2013 306 straipsnio 1 dalies c punkte nustatytas sąlygas, galima būsima pozicija. Suma nurodoma pritaikius 1,4 alfa koeficientą, kaip nurodyta Reglamento (ES) Nr. 575/2013 274 straipsnio 2 dalyje.</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Įstaigos taip pat įtraukia šiame laukelyje nurodytą sumą į {0103;0010} laukelį taip, lyg išimtis nebūtų taikoma.</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Išvestinėms finansinėms priemonėms skirta nukrypti leidžianti nuostata. Pradinės pozicijos metodas</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6 dalis ir 282 straipsnis.</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Šiame laukelyje nurodomas Reglamento (ES) Nr. 575/2013 II priedo 1 ir 2 punktuose išvardytų sutarčių pozicijų matas, apskaičiuotas pagal pradinės pozicijos metodą, nurodytą Reglamento (ES) Nr. 575/2013 282 straipsnyje.</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Pradinės pozicijos metodą taikančios įstaigos bendro pozicijų mato nemažina gautos garantinės įmokos suma pagal Reglamento (ES) Nr. 575/2013 429c straipsnio 6 dalį.</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Pradinės pozicijos metodo netaikančios įstaigos šiame laukelyje informacijos nepateikia.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Į šį laukelį įstaigos neįtraukia sutarčių, įvertintų taikant SA-CCR metodą arba supaprastintą standartizuotą metodą.</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Kliento prekybos pozicijų, kurių tarpuskaitą atlieka pagrindinė sandorio šalis, dalis, kuriai taikoma išimtis (pradinės pozicijos metodas)</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Deleguotojo reglamento (ES) Nr. 575/2013 429a straipsnio 1 dalies g punktas.</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Kliento prekybos pozicijų, kurių tarpuskaitą atlieka pagrindinė sandorio šalis, dalis, kuriai taikoma išimtis, taikant Reglamento (ES) Nr. 575/2013 282 straipsnyje nurodytą pradinės pozicijos metodą, jeigu tie elementai atitinka Reglamento (ES) Nr. 575/2013 306 straipsnio 1 dalies c punkte nurodytas sąlygas.</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Įstaigos taip pat įtraukia šiame laukelyje nurodytą sumą į {0110;0010} laukelį taip, lyg išimtis nebūtų taikoma.</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Pasirašytų kredito išvestinių finansinių priemonių apribota tariamoji suma</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Reglamento (ES) Nr. 575/2013 429d straipsnis.</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Įstaigos pagal Reglamento (ES) Nr. 575/2013 429d straipsnį nustato pasirašytų kredito išvestinių finansinių priemonių, apibrėžtų 429d straipsnio 1 dalyje, apribotą tariamąją sumą.</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Tinkamos įsigytos kredito išvestinės finansinės priemonės, išskaičiuojamos iš pasirašytų kredito išvestinių finansinių priemonių</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429d straipsnis.</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Įsigytų kredito išvestinių finansinių priemonių (t. y. kai įstaiga perka kredito užtikrinimą iš sandorio šalies) tais pačiais referenciniais pavadinimais, kaip įstaigos išleistos kredito išvestinės finansinės priemonės, kai įsigyto užtikrinimo likęs terminas atitinka parduoto užtikrinimo likusį terminą arba yra už jį ilgesnis, apribota tariamoji suma. Taigi kiekvieno referencinio pavadinimo atveju vertė neturi būti didesnė nei {0130;0010} įrašyta vertė.</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Nebalansiniai straipsniai, kuriems taikomas 10 % kredito perskaičiavimo koeficientas pagal KRR 429f straipsnį</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Pozicijos vertė pagal Reglamento (ES) Nr. 575/2013 429f straipsnį, 111 straipsnio 2 dalies e punktą ir 111 straipsnio 3 dalį</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Reglamentas (ES)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sz w:val="24"/>
              </w:rPr>
              <w:t xml:space="preserve">Primenama, kad nominalioji vertė negali būti sumažinta specifinės kredito rizikos koregavimais prieš taikant kredito perskaičiavimo koeficientą. </w:t>
            </w:r>
            <w:r>
              <w:rPr>
                <w:rFonts w:ascii="Times New Roman" w:hAnsi="Times New Roman"/>
                <w:sz w:val="24"/>
              </w:rPr>
              <w:t>Pagal 429f straipsnio 2 dalį, įstaigos gali kredito pozicijai lygią nebalansinio straipsnio sumą sumažinti atitinkama specifinės kredito rizikos koregavimų suma. Taip skaičiuojant taikoma žemiausia riba yra lygi nuliui.</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Jeigu įsipareigojimas yra pagrįstas kito nebalansinio straipsnio pratęsimu, pagal Reglamento (ES) Nr. 575/2013 111 straipsnio 3 dalį naudojamas mažesnysis iš dviejų perskaičiavimo koeficientų (susijusių su straipsniu, dėl kurio yra prisiimtas įsipareigojimas, arba su prisiimto įsipareigojimo rūšimi).</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Pagal Reglamento (ES) Nr. 575/2013 429f straipsnį, šiame laukelyje įstaigos nenurodo Reglamento (ES) Nr. 575/2013 II priede išvardytų sutarčių, kredito išvestinių finansinių priemonių, VPĮFS ir 429d straipsnyje nurodytų pozicijų.</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Pagal 429f straipsnio 3 dalį, besąlygiškai anuliuojamiems įsipareigojimams įstaigos taiko 10 % kredito perskaičiavimo koeficientą.</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Nebalansiniai straipsniai, kuriems taikomas 20 % kredito perskaičiavimo koeficientas pagal KRR 429f straipsnį</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Pozicijos vertė pagal Reglamento (ES) Nr. 575/2013 429f straipsnį, 111 straipsnio 2 dalies d punktą ir 111 straipsnio 3 dalį.</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 Primenama, kad nominalioji vertė negali būti sumažinta specifinės kredito rizikos koregavimais prieš taikant kredito perskaičiavimo koeficientą. Pagal 429f straipsnio 2 dalį, įstaigos gali kredito pozicijai lygią nebalansinio straipsnio sumą sumažinti atitinkama specifinės kredito rizikos koregavimų suma. Taip skaičiuojant taikoma žemiausia riba yra lygi nuliui.</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Jeigu įsipareigojimas yra pagrįstas kito nebalansinio straipsnio pratęsimu, pagal Reglamento (ES) Nr. 575/2013 111 straipsnio 3 dalį naudojamas mažesnysis iš dviejų perskaičiavimo koeficientų (susijusių su straipsniu, dėl kurio yra prisiimtas įsipareigojimas, arba su prisiimto įsipareigojimo rūšimi).</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Pagal Reglamento (ES) Nr. 575/2013 429f straipsnį, šiame laukelyje įstaigos nenurodo Reglamento (ES) Nr. 575/2013 II priede išvardytų sutarčių, kredito išvestinių finansinių priemonių, VPĮFS ir 429d straipsnyje nurodytų pozicijų.</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Nebalansiniai straipsniai, kuriems taikomas 40 % kredito perskaičiavimo koeficientas pagal KRR 429f straipsnį</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Pozicijos vertė pagal Reglamento (ES) Nr. 575/2013 429f straipsnį, 111 straipsnio 2 dalies c punktą ir 111 straipsnio 3 dalį.</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Primenama, kad nominalioji vertė negali būti sumažinta specifinės kredito rizikos koregavimais prieš taikant kredito perskaičiavimo koeficientą. Pagal 429f straipsnio 2 dalį, įstaigos gali kredito pozicijai lygią nebalansinio straipsnio sumą sumažinti atitinkama specifinės kredito rizikos koregavimų suma. Taip skaičiuojant taikoma žemiausia riba yra lygi nuliui.</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Jeigu įsipareigojimas yra pagrįstas kito nebalansinio straipsnio pratęsimu, pagal Reglamento (ES) Nr. 575/2013 111 straipsnio 3 dalį naudojamas mažesnysis iš dviejų perskaičiavimo koeficientų (susijusių su straipsniu, dėl kurio yra prisiimtas įsipareigojimas, arba su prisiimto įsipareigojimo rūšimi).</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Pagal Reglamento (ES) Nr. 575/2013 429f straipsnį, šiame laukelyje įstaigos nenurodo Reglamento (ES) Nr. 575/2013 II priede išvardytų sutarčių, kredito išvestinių finansinių priemonių, VPĮFS ir 429d straipsnyje nurodytų pozicijų.</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Nebalansiniai straipsniai, kuriems taikomas 50 % kredito perskaičiavimo koeficientas pagal KRR 429f straipsnį</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Pozicijos vertė pagal Reglamento (ES) Nr. 575/2013 429f straipsnį, 111 straipsnio 2 dalies b punktą ir 111 straipsnio 3 dalį.</w:t>
            </w:r>
          </w:p>
          <w:p w14:paraId="512D74AD" w14:textId="1AA2B475"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Primenama, kad nominalioji vertė negali būti sumažinta specifinės kredito rizikos koregavimais prieš taikant kredito perskaičiavimo koeficientą.</w:t>
            </w:r>
            <w:r w:rsidR="0006442A">
              <w:rPr>
                <w:rFonts w:ascii="Times New Roman" w:hAnsi="Times New Roman"/>
                <w:sz w:val="24"/>
              </w:rPr>
              <w:t xml:space="preserve"> </w:t>
            </w:r>
            <w:r>
              <w:rPr>
                <w:rFonts w:ascii="Times New Roman" w:hAnsi="Times New Roman"/>
                <w:sz w:val="24"/>
              </w:rPr>
              <w:t>Pagal 429f straipsnio 2 dalį, įstaigos gali kredito pozicijai lygią nebalansinio straipsnio sumą sumažinti atitinkama specifinės kredito rizikos koregavimų suma. Taip skaičiuojant taikoma žemiausia riba yra lygi nuliui.</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Šiame laukelyje nurodytos likvidumo priemonės ir kiti pakeitimo vertybiniais popieriais įsipareigojimai. Kitaip tariant, nepriklausomai nuo termino, visų likvidumo priemonių kredito perskaičiavimo koeficientas pagal Reglamento (ES) Nr. 575/2013 255 straipsnį yra 50 %.</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Jeigu įsipareigojimas yra pagrįstas kito nebalansinio straipsnio pratęsimu, pagal Reglamento (ES) Nr. 575/2013 111 straipsnio 3 dalį naudojamas mažesnysis iš dviejų perskaičiavimo koeficientų (susijusių su straipsniu, dėl kurio yra prisiimtas įsipareigojimas, arba su prisiimto įsipareigojimo rūšimi).</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Pagal Reglamento (ES) Nr. 575/2013 429f straipsnį, šiame laukelyje įstaigos nenurodo Reglamento (ES) Nr. 575/2013 II priede išvardytų sutarčių, kredito išvestinių finansinių priemonių, VPĮFS ir 429d straipsnyje nurodytų pozicijų.</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Nebalansiniai straipsniai, kuriems taikomas 100 % kredito perskaičiavimo koeficientas pagal KRR 429f straipsnį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Pozicijos vertė pagal Reglamento (ES) Nr. 575/2013 429f straipsnį, 111 straipsnio 2 dalies a punktą ir 111 straipsnio 3 dalį.</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Primenama, kad nominalioji vertė negali būti sumažinta specifinės kredito rizikos koregavimais prieš taikant kredito perskaičiavimo koeficientą. Pagal 429f straipsnio 2 dalį, įstaigos gali kredito pozicijai lygią nebalansinio straipsnio sumą sumažinti atitinkama specifinės kredito rizikos koregavimų suma. Taip skaičiuojant taikoma žemiausia riba yra lygi nuliui.</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Šiame laukelyje nurodytos likvidumo priemonės ir kiti pakeitimo vertybiniais popieriais įsipareigojimai.</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Jeigu įsipareigojimas yra pagrįstas kito nebalansinio straipsnio pratęsimu, pagal Reglamento (ES) Nr. 575/2013 111 straipsnio 3 dalį naudojamas mažesnysis iš dviejų perskaičiavimo koeficientų (susijusių su straipsniu, dėl kurio yra prisiimtas įsipareigojimas, arba su prisiimto įsipareigojimo rūšimi).</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Pagal Reglamento (ES) Nr. 575/2013 429f straipsnį, šiame laukelyje įstaigos nenurodo Reglamento (ES) Nr. 575/2013 II priede išvardytų sutarčių, kredito išvestinių finansinių priemonių, VPĮFS ir 429d straipsnyje nurodytų pozicijų.</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Nebalansinių straipsnių bendrosios kredito rizikos koregavimai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 straipsnio 4 dalis.</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Bendrosios kredito rizikos koregavimų, atitinkančių Reglamento (ES) Nr. 575/2013 429 straipsnio 4 dalies d punkte nurodytus nebalansinius straipsnius, kuriuos įstaigos atskaito pagal to reglamento 429 straipsnio 4 dalies paskutinę pastraipą, suma.</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lastRenderedPageBreak/>
              <w:t>Apskaičiuojant nebalansinius straipsnius, nurodomus {0150;0010}–{0180;0010} eilutėse, į čia nurodytą sumą neatsižvelgiama kaip į sumažinimą.</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Įprastinis pirkimas ir pardavimas, už kuriuos dar neatsiskaityta. Apskaitinė vertė taikant apskaitą pagal prekybos datą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Reglamento (ES) Nr. 575/2013 429g straipsnio 1 dalis.</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Toliau nurodytų elementų suma:</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pinigų sumos, susijusios su įprastiniais pirkimais, kurie iki atsiskaitymo datos lieka balanse kaip turtas pagal Reglamento (ES) Nr. 575/2013 429 straipsnio 4 dalies a punktą, ir</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gautinos grynųjų pinigų sumos, susijusios su įprastiniais pardavimais, kurie iki atsiskaitymo datos lieka balanse kaip turtas pagal Reglamento (ES) Nr. 575/2013 429 straipsnio 4 dalies a punktą.</w:t>
            </w:r>
            <w:r>
              <w:rPr>
                <w:rFonts w:ascii="Times New Roman" w:hAnsi="Times New Roman"/>
                <w:color w:val="auto"/>
                <w:sz w:val="24"/>
              </w:rPr>
              <w:t xml:space="preserve"> Ši suma susidaro po to, kai pagal taikytiną apskaitos sistemą tarpusavyje užskaitomos už įprastinį pardavimą, už kurį dar neatsiskaityta, gautinų grynųjų pinigų sumos ir už įprastinį pirkimą, už kurį dar neatsiskaityta, mokėtinų grynųjų pinigų sumos.</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Įstaigos, kurios taiko apskaitą prekybos datą, minėtąją sumą nurodo šiame laukelyje, o ne 0190 eilutėje „kitas turtas“, o eilutėje 0190 – su įprastiniu pirkimu susijusius vertybinius popierius.</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Įprastinis pardavimas, už kurį dar neatsiskaityta. Atvirkštinė užskaita apskaitoje taikant apskaitą pagal prekybos datą</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Reglamento (ES) Nr. 575/2013 429g straipsnio 2 dalis.</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Suma, gauta pagal taikytiną apskaitos sistemą atlikus už įprastinį pardavimą, už kurį dar neatsiskaityta, gautinų grynųjų pinigų sumų ir už įprastinį pirkimą, už kurį dar neatsiskaityta, mokėtinų grynųjų pinigų sumų tarpusavio užskaitą.</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Įprastinis pardavimas, už kurį dar neatsiskaityta. Užskaita pagal KRR 429g straipsnio 2 dalį</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429g straipsnio 2 dalis.</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Suma, gauta atlikus gautinų grynųjų pinigų sumų ir mokėtinų grynųjų pinigų sumų tarpusavio užskaitą, jeigu ir pagal susijusius įprastinius pardavimus ir pirkimus atsiskaitoma taikant vienalaikio vertybinių popierių ir lėšų pateikimo principą pagal Reglamento (ES) Nr. 575/2013 429g straipsnio 2 dalį.</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Įprastinis pirkimas, už kurį dar neatsiskaityta. Įsipareigojimų sumokėti visiškas pripažinimas taikant apskaitą pagal atsiskaitymo datą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Reglamento (ES) Nr. 575/2013 429g straipsnio 3 dalis.</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Bendra su įprastiniu pirkimu susijusių įsipareigojimų sumokėti nominalioji vertė, kurią nurodo įstaigos, kurios pagal taikytiną apskaitos sistemą įprastiniam pirkimui ir pardavimui taiko apskaitą atsiskaitymo datą.</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Su įprastiniu pirkimu susiję vertybiniai popieriai nurodomi 0190 eilutėje „kitas turtas“.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Įprastinis pirkimas, už kurį dar neatsiskaityta. Įsipareigojimų sumokėti užskaita pagal apskaitą taikant atsiskaitymo datą pagal KRR 429g straipsnio 3 dalį</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Reglamento (ES) Nr. 575/2013 429g straipsnio 3 dalis.</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0188 eilutėje nurodytos sumos dalis, padengta bendra su įprastiniu pardavimu, už kurį dar neatsiskaityta, susijusių gautinų grynųjų pinigų sumų nominaliąja verte pagal Reglamento (ES) Nr. 575/2013 429g straipsnio 3 dalį.</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Kitas turtas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4 dalies a punktas.</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Visas turtas, išskyrus Reglamento (ES) Nr. 575/2013 II priede išvardytas išvestinių finansinių priemonių sutartis, kredito išvestines finansines priemones ir VPĮFS (pvz., kitą turtą, kurį reikia nurodyti šiame laukelyje, sudaro gautinos sumos už piniginę kintamąją garantinę įmoką, jei jos pripažįstamos pagal taikomą apskaitos sistemą, likvidusis turtas, apibrėžtas pagal padengimo likvidžiuoju turtu rodiklį, neįvykdyti ir neapmokėti sandoriai). Vertinimą įstaigos grindžia Reglamento (ES) Nr. 575/2013 429b straipsnio 1 dalyje ir 429 straipsnio 7 dalyje išdėstytais principais.</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Į šį laukelį įstaigos įtraukia gautus pinigus arba garantijas, pateiktas sandorio šaliai pagal VPĮFS ir nurodytus balanse (t. y. neįvykdyti pripažinimo nutraukimo apskaitos kriterijai). Be to, įstaigos pripažįsta straipsnius, kurie yra atskaitomi iš bendro 1 lygio nuosavo kapitalo ir papildomų 1 lygio straipsnių (pvz., nematerialiojo turto, atidėtųjų mokesčių turto ir kt.).</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Apskaičiuojant šioje eilutėje nurodomą sumą, į {0191;0010} eilutėje nurodytą sumą neatsižvelgiama kaip į sumažinimą.</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Susitarimai dėl bendro pinigų fondo sudarymo nurodomi ne čia, o {0193;0010}, {0194;0010}, {0195;0010}, {0196;0010}, {0197;0010} ir {0198;0010} eilutėse.</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Balansinių straipsnių bendrosios kredito rizikos koregavimai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 straipsnio 4 dalis.</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Bendrosios kredito rizikos koregavimų, atitinkančių Reglamento (ES) Nr. 575/2013 429 straipsnio 4 dalies a punkte nurodytus balansinius straipsnius, kuriuos įstaigos atskaito pagal Reglamento (ES) Nr. 575/2013 429 straipsnio 4 dalies paskutinę pastraipą, suma.</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Apskaičiuojant kitą turtą, nurodomą {0190;0010} laukelyje, į čia nurodytą sumą neatsižvelgiama kaip į sumažinimą.</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Susitarimai dėl bendro pinigų fondo sudarymo, kurių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negalima užskaityti. Vertė apskaitos sistemoje</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429b straipsnio 2 ir 3 dalys.</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Susitarimų dėl bendro pinigų fondo sudarymo (t. y. susitarimų, pagal kuriuos pinigų arba likvidumo valdymo tikslais sujungiami kelių atskirų sąskaitų kredito ar debeto likučiai), kurių </w:t>
            </w:r>
            <w:proofErr w:type="spellStart"/>
            <w:r>
              <w:rPr>
                <w:rFonts w:ascii="Times New Roman" w:hAnsi="Times New Roman"/>
                <w:sz w:val="24"/>
              </w:rPr>
              <w:t>prudenciniu</w:t>
            </w:r>
            <w:proofErr w:type="spellEnd"/>
            <w:r>
              <w:rPr>
                <w:rFonts w:ascii="Times New Roman" w:hAnsi="Times New Roman"/>
                <w:sz w:val="24"/>
              </w:rPr>
              <w:t xml:space="preserve"> požiūriu negalima užskaityti, apskaitinė vertė pagal Reglamento (ES) Nr. 575/2013 429b straipsnio 2 ir 3 dalis.</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Susitarimai dėl bendro pinigų fondo sudarymo, kurių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negalima užskaityti. Apskaitos sistemoje taikytos užskaitos statistinio apibendrinimo poveikis</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 straipsnio 7 dalies b punktas ir 429b straipsnio 2 bei 3 dalys.</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Suma, užskaityta pagal susitarimams dėl bendro pinigų fondo sudarymo, kurių </w:t>
            </w:r>
            <w:proofErr w:type="spellStart"/>
            <w:r>
              <w:rPr>
                <w:rFonts w:ascii="Times New Roman" w:hAnsi="Times New Roman"/>
                <w:color w:val="auto"/>
                <w:sz w:val="24"/>
              </w:rPr>
              <w:t>prudenciniu</w:t>
            </w:r>
            <w:proofErr w:type="spellEnd"/>
            <w:r>
              <w:rPr>
                <w:rFonts w:ascii="Times New Roman" w:hAnsi="Times New Roman"/>
                <w:color w:val="auto"/>
                <w:sz w:val="24"/>
              </w:rPr>
              <w:t xml:space="preserve"> požiūriu negalima užskaityti, taikytiną apskaitos sistemą, nurodoma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Susitarimai dėl bendro pinigų fondo sudarymo, kuriuos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galima užskaityti. Vertė apskaitos sistemoje</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429b straipsnio 2 ir 3 dalys.</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Susitarimų dėl bendro pinigų fondo sudarymo (t. y. susitarimų, pagal kuriuos pinigų arba likvidumo valdymo tikslais sujungiami kelių atskirų sąskaitų kredito ar debeto likučiai), kuriuos </w:t>
            </w:r>
            <w:proofErr w:type="spellStart"/>
            <w:r>
              <w:rPr>
                <w:rFonts w:ascii="Times New Roman" w:hAnsi="Times New Roman"/>
                <w:sz w:val="24"/>
              </w:rPr>
              <w:t>prudenciniu</w:t>
            </w:r>
            <w:proofErr w:type="spellEnd"/>
            <w:r>
              <w:rPr>
                <w:rFonts w:ascii="Times New Roman" w:hAnsi="Times New Roman"/>
                <w:sz w:val="24"/>
              </w:rPr>
              <w:t xml:space="preserve"> požiūriu galima užskaityti, apskaitinė vertė pagal Reglamento (ES) Nr. 575/2013 429b straipsnio 2 ir 3 dalis.</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Susitarimai dėl bendro pinigų fondo sudarymo, kuriuos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galima užskaityti. Apskaitos sistemoje taikytos užskaitos statistinio apibendrinimo poveikis</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429b straipsnio 2 ir 3 dalys.</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lastRenderedPageBreak/>
              <w:t xml:space="preserve">Suma, užskaityta pagal susitarimams dėl bendro pinigų fondo sudarymo, kuriuos </w:t>
            </w:r>
            <w:proofErr w:type="spellStart"/>
            <w:r>
              <w:rPr>
                <w:rFonts w:ascii="Times New Roman" w:hAnsi="Times New Roman"/>
                <w:color w:val="auto"/>
                <w:sz w:val="24"/>
              </w:rPr>
              <w:t>prudenciniu</w:t>
            </w:r>
            <w:proofErr w:type="spellEnd"/>
            <w:r>
              <w:rPr>
                <w:rFonts w:ascii="Times New Roman" w:hAnsi="Times New Roman"/>
                <w:color w:val="auto"/>
                <w:sz w:val="24"/>
              </w:rPr>
              <w:t xml:space="preserve"> požiūriu galima užskaityti, taikytiną apskaitos sistemą, nurodoma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Jei įstaiga atitinka 429b straipsnio 2 dalies b punkto reikalavimą, ji šioje eilutėje nenurodo likučių, kurie buvo anuliuoti atlikus 429b straipsnio 2 dalies a punkte nustatytą procesą, bendros sumos.</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Susitarimai dėl bendro pinigų fondo sudarymo, kuriuos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galima užskaityti. Užskaitos pripažinimas pagal KRR 429b straipsnio 2 dalį</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Reglamento (ES) Nr. 575/2013 429b straipsnio 2 dalis.</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Suma, užskaityta iš bendrosios pozicijos, susijusios su susitarimais dėl bendro pinigų fondo sudarymo (0195 ir 0196 eilučių suma) pagal 429b straipsnio 2 dalį.</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Susitarimai dėl bendro pinigų fondo sudarymo, kuriuos </w:t>
            </w:r>
            <w:proofErr w:type="spellStart"/>
            <w:r>
              <w:rPr>
                <w:rFonts w:ascii="Times New Roman" w:hAnsi="Times New Roman"/>
                <w:b/>
                <w:color w:val="auto"/>
                <w:sz w:val="24"/>
              </w:rPr>
              <w:t>prudenciniu</w:t>
            </w:r>
            <w:proofErr w:type="spellEnd"/>
            <w:r>
              <w:rPr>
                <w:rFonts w:ascii="Times New Roman" w:hAnsi="Times New Roman"/>
                <w:b/>
                <w:color w:val="auto"/>
                <w:sz w:val="24"/>
              </w:rPr>
              <w:t xml:space="preserve"> požiūriu galima užskaityti. Užskaitos pripažinimas pagal KRR 429b straipsnio 3 dalį</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Reglamento (ES) Nr. 575/2013 429b straipsnio 3 dalis. </w:t>
            </w:r>
            <w:r>
              <w:rPr>
                <w:rFonts w:ascii="Times New Roman" w:hAnsi="Times New Roman"/>
                <w:color w:val="auto"/>
                <w:sz w:val="24"/>
              </w:rPr>
              <w:t>Suma, užskaityta iš bendrosios pozicijos, susijusios su susitarimais dėl bendro pinigų fondo sudarymo (0195 ir 0196 eilučių suma) pagal 429b straipsnio 3 dalį.</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Bendra pateiktų išvestinių finansinių priemonių užtikrinimo priemonių suma</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2 dalis.</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Pateiktų išvestinių finansinių priemonių užtikrinimo priemonių suma, jei dėl tų užtikrinimo priemonių pateikimo turto suma sumažinama pagal taikytiną apskaitos sistemą, nurodytą Reglamento (ES) Nr. 575/2013 429c straipsnio 2 dalyje.</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Įstaigos į šį laukelį neįtraukia pradinės garantinės įmokos už kliento išvestinių finansinių priemonių sandorius, kurių tarpuskaitą atlieka reikalavimus atitinkanti pagrindinė sandorio šalis, arba tinkamos piniginės kintamosios įmokos, kaip apibrėžta Reglamento (ES) Nr. 575/2013 429c straipsnio 3 dalyje.</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Gautinos sumos už piniginę kintamąją garantinę įmoką, pateikiamą išvestinių finansinių priemonių sandoriuose</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429c straipsnio 3 dalies c punktas.</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Gautinos sumos už kintamąją garantinę įmoką, sumokėtą pinigais sandorio šaliai vykdant išvestinių finansinių priemonių sandorius, jeigu pagal taikytiną apskaitos sistemą įstaiga turi pripažinti šias gautinas sumas kaip turtą, jei </w:t>
            </w:r>
            <w:r>
              <w:rPr>
                <w:rFonts w:ascii="Times New Roman" w:hAnsi="Times New Roman"/>
                <w:sz w:val="24"/>
              </w:rPr>
              <w:lastRenderedPageBreak/>
              <w:t>tenkinamos Reglamento (ES) Nr. 575/2013 429c straipsnio 3 dalies a–e punktuose nurodytos sąlygos.</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Nurodyta suma taip pat turi būti įtraukta į kitą turtą, nurodytą {0190;0010} laukelyje.</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Kliento prekybos pozicijų, kurių tarpuskaitą atlieka pagrindinė sandorio šalis, dalis, kuriai taikoma išimtis (pradinė garantinė įmoka)</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Deleguotojo reglamento (ES) Nr. 575/2013 429a straipsnio 1 dalies g punktas.</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Reikalavimus atitinkančios pagrindinės sandorio šalies prekybos pozicijų, atsiradusių dėl kliento išvestinių finansinių priemonių sandorių tarpuskaitos, kurioms taikoma išimtis, jeigu tie elementai atitinka Reglamento (ES) Nr. 575/2013 306 straipsnio 1 dalies c punkte nustatytas sąlygas, (suteiktos) pradinės garantinės įmokos dalis.</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Nurodyta suma taip pat turi būti įtraukta į kitą turtą, nurodytą {0190;0010} laukelyje.</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VPĮFS pardavimo apskaitos sandorių koregavimai</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429e straipsnio 6 dalis.</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Pagal atpirkimo sandorį paskolintų vertybinių popierių, kurių pripažinimas nutrauktas dėl pardavimo apskaitos sandorio pagal taikytiną apskaitos sistemą, vertė.</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Išankstinio finansavimo arba tarpinių paskolų pozicijos vertės sumažėjimas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8 dalis.</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Suma, gauta pagal Reglamento (ES) Nr. 575/2013 429 straipsnio 8 dalį sumažinus išankstinio finansavimo paskolos arba tarpinės paskolos pozicijos vertę.</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Nurodyta suma turi būti įtraukta į kitą turtą, nurodytą {0190;0010} laukelyje.</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Patikėtas turtas</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i punktas.</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 xml:space="preserve">Patikėto turto, kuris pagal nacionalinius bendruosius apskaitos principus yra pripažintas įstaigos balanse ir tenkina 9-ajame tarptautiniame finansinės atskaitomybės standarte (TFAS) nustatytus pripažinimo panaikinimo kriterijus ir, atitinkamais atvejais, 10-ajame TFAS nustatytus nekonsolidavimo kriterijus, vertė pagal Reglamento (ES) Nr. 575/2013 429a straipsnio 1 dalies i punktą, neatsižvelgiant į rizikos ribojimo ar </w:t>
            </w:r>
            <w:r>
              <w:rPr>
                <w:rFonts w:ascii="Times New Roman" w:hAnsi="Times New Roman"/>
                <w:sz w:val="24"/>
              </w:rPr>
              <w:lastRenderedPageBreak/>
              <w:t>apskaitinės užskaitos arba kito KRM būdo poveikį (t. y. panaikinamas bet koks apskaitinės užskaitos arba KRM poveikis apskaitinei vertei).</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Nurodyta suma taip pat turi būti įtraukta į kitą turtą, nurodytą {0190;0010} laukelyje.</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Grupės vidaus pozicijos (individualiu pagrindu), kurioms taikoma išimtis pagal KRR 429a straipsnio 1 dalies c punktą</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c punktas ir 113 straipsnio 6 dalis.</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Pozicijos, kurios nebuvo konsoliduotos taikytinu konsolidavimo lygmeniu ir kurioms gali būti taikoma Reglamento (ES) Nr. 575/2013 113 straipsnio 6 dalyje nustatyta tvarka, jeigu įvykdytos visos Reglamento (ES) Nr. 575/2013 113 straipsnio 6 dalies a–e punktuose nustatytos sąlygos ir jeigu kompetentingos institucijos yra suteikusios leidimą.</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Institucinės užtikrinimo sistemos pozicijos, kurioms taikoma išimtis pagal KRR 429a straipsnio 1 dalies c punktą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c punktas ir 113 straipsnio 7 dalis.</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Pozicijos, kurioms gali būti taikoma Reglamento (ES) Nr. 575/2013 113 straipsnio 7 dalyje nustatyta tvarka, jeigu įvykdytos visos Reglamento (ES) Nr. 575/2013 113 straipsnio 7 dalies a–i punktuose nustatytos sąlygos ir jeigu kompetentingos institucijos yra suteikusios leidimą.</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Nurodyta suma taip pat turi būti įtraukta į pirmiau pateiktus taikytinus laukelius taip, lyg išimtis nebūtų taikoma.</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xml:space="preserve">(–) Institucinės užtikrinimo sistemos pozicijos, kurioms taikoma išimtis pagal Reglamento (ES) Nr. 575/2013 429a straipsnio 1 dalies </w:t>
            </w:r>
            <w:proofErr w:type="spellStart"/>
            <w:r>
              <w:rPr>
                <w:rFonts w:ascii="Times New Roman" w:hAnsi="Times New Roman"/>
                <w:b/>
                <w:color w:val="auto"/>
                <w:sz w:val="24"/>
              </w:rPr>
              <w:t>ca</w:t>
            </w:r>
            <w:proofErr w:type="spellEnd"/>
            <w:r>
              <w:rPr>
                <w:rFonts w:ascii="Times New Roman" w:hAnsi="Times New Roman"/>
                <w:b/>
                <w:color w:val="auto"/>
                <w:sz w:val="24"/>
              </w:rPr>
              <w:t xml:space="preserve"> punktą</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Reglamento (ES) Nr. 575/2013 429a straipsnio 1 dalies </w:t>
            </w:r>
            <w:proofErr w:type="spellStart"/>
            <w:r>
              <w:rPr>
                <w:rFonts w:ascii="Times New Roman" w:hAnsi="Times New Roman"/>
                <w:sz w:val="24"/>
              </w:rPr>
              <w:t>ca</w:t>
            </w:r>
            <w:proofErr w:type="spellEnd"/>
            <w:r>
              <w:rPr>
                <w:rFonts w:ascii="Times New Roman" w:hAnsi="Times New Roman"/>
                <w:sz w:val="24"/>
              </w:rPr>
              <w:t xml:space="preserve"> punktas, 113 straipsnio 7 dalis, 114 </w:t>
            </w:r>
            <w:proofErr w:type="spellStart"/>
            <w:r>
              <w:rPr>
                <w:rFonts w:ascii="Times New Roman" w:hAnsi="Times New Roman"/>
                <w:sz w:val="24"/>
              </w:rPr>
              <w:t>straipsnis.Pozicijos</w:t>
            </w:r>
            <w:proofErr w:type="spellEnd"/>
            <w:r>
              <w:rPr>
                <w:rFonts w:ascii="Times New Roman" w:hAnsi="Times New Roman"/>
                <w:sz w:val="24"/>
              </w:rPr>
              <w:t xml:space="preserve">, kurioms gali būti taikoma Reglamento (ES) Nr. 575/2013 113 straipsnio 7 dalyje ir 114 straipsnyje nustatyta tvarka, jeigu įvykdytos visos Reglamento (ES) Nr. 575/2013 429a straipsnio 1 dalies </w:t>
            </w:r>
            <w:proofErr w:type="spellStart"/>
            <w:r>
              <w:rPr>
                <w:rFonts w:ascii="Times New Roman" w:hAnsi="Times New Roman"/>
                <w:sz w:val="24"/>
              </w:rPr>
              <w:t>ca</w:t>
            </w:r>
            <w:proofErr w:type="spellEnd"/>
            <w:r>
              <w:rPr>
                <w:rFonts w:ascii="Times New Roman" w:hAnsi="Times New Roman"/>
                <w:sz w:val="24"/>
              </w:rPr>
              <w:t xml:space="preserve"> punkte nustatytos sąlygos. </w:t>
            </w:r>
          </w:p>
          <w:p w14:paraId="679257E0" w14:textId="1D0F3ECC" w:rsidR="0093277B" w:rsidRPr="000B66BC" w:rsidRDefault="00B96F9D" w:rsidP="00D31203">
            <w:pPr>
              <w:pStyle w:val="BodyText1"/>
              <w:spacing w:after="240" w:line="240" w:lineRule="auto"/>
            </w:pPr>
            <w:r>
              <w:rPr>
                <w:rFonts w:ascii="Times New Roman" w:hAnsi="Times New Roman"/>
                <w:sz w:val="24"/>
              </w:rPr>
              <w:t>Nurodyta suma taip pat turi būti įtraukta į pirmiau pateiktus taikytinus laukelius taip, lyg išimtis nebūtų taikoma.</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Neįtraukiamos dėl eksporto kredito susidariusių pozicijų garantuotos dalys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Reglamento (ES) Nr. 575/2013 429a straipsnio 1 dalies f punktas.</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Pozicijų, susidarančių dėl eksporto kreditų, garantuotos dalys, kurių galima neįtraukti, kai tenkinamos Reglamento (ES) Nr. 575/2013 429a straipsnio 1 dalies f punkte nustatytos sąlygos.</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Neįtraukiamas užtikrinimo priemonės perviršis, laikomas trišalio agento įkaito valdymo sistemoje</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k punktas.</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Užtikrinimo priemonės perviršis, laikomas trišalio agento įkaito valdymo sistemoje, kuris nebuvo paskolintas, gali būti neįtraukiamas pagal 429a straipsnio 1 dalies k punktą.</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Neįtraukiamos vertybiniais popieriais pakeistos pozicijos, atitinkančios reikšmingą rizikos perleidimą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m punktas.</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Tradicinio pakeitimo vertybiniais popieriais būdu vertybiniais popieriais pakeistos pozicijos, atitinkančios 244 straipsnio 2 dalyje nustatytas reikšmingos rizikos perleidimo sąlygas.</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Centrinio banko pozicijos, kurioms taikoma išimtis pagal KRR 429a straipsnio 1 dalies n punktą</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n punktas.</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sz w:val="24"/>
              </w:rPr>
              <w:t>(–) Neįtraukiamos CVPD / įstaigų bankinės papildomos paslaugos pagal Reglamento (ES) Nr. 575/2013 429a straipsnio 1 dalies o punktą</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o punktas.</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lastRenderedPageBreak/>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paskirtųjų įstaigų bankinės papildomos paslaugos pagal KRR 429a straipsnio 1 dalies p punktą</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429a straipsnio 1 dalies p punktas.</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Pozicijos, kurioms taikoma išimtis pagal KRR 429a straipsnio 1 dalies j punktą</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j punktas.</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Pozicijos, kurioms taikoma išimtis pagal Reglamento (ES) Nr. 575/2013 429a straipsnio 1 dalies j punktą, jeigu įvykdytos jame nustatytos sąlygos.</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Neįtraukiamos viešosios plėtros kredito įstaigų pozicijos. Viešojo sektoriaus investicijos</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d punktas ir 2 dalis.</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Pozicijos, susidarančios dėl turto, kurį sudaro su viešojo sektoriaus investicijomis susiję reikalavimai centrinės, regioninės arba vietos valdžios institucijoms arba viešojo sektoriaus subjektams, kurių galima neįtraukti pagal Reglamento (ES) Nr. 575/2013 429a straipsnio 1 dalies d punktą.</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Jei reikalavimas yra skatinamoji paskola pagal 429a straipsnio 3 dalį, jis nurodomas ne šiame laukelyje, o atitinkamai 0262–0264 eilutėse.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viešosios plėtros kredito įstaigų pozicijos. Viešosios plėtros kredito įstaigos suteiktos skatinamosios paskolos</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d punktas ir 2 bei 3 dalys.</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Pozicijos, susidarančios dėl viešosios plėtros kredito įstaigos suteiktų skatinamųjų paskolų, įskaitant perleidžiamąsias skatinamąsias paskolas, kurių galima neįtraukti pagal Reglamento (ES) Nr. 575/2013 429a straipsnio 1 dalies d punktą.</w:t>
            </w:r>
            <w:r>
              <w:rPr>
                <w:rFonts w:ascii="Times New Roman" w:hAnsi="Times New Roman"/>
                <w:color w:val="auto"/>
                <w:sz w:val="24"/>
              </w:rPr>
              <w:t xml:space="preserve"> </w:t>
            </w:r>
            <w:r>
              <w:rPr>
                <w:rFonts w:ascii="Times New Roman" w:hAnsi="Times New Roman"/>
                <w:sz w:val="24"/>
              </w:rPr>
              <w:t>Taip pat atsižvelgiama į įstaigos, kurią kompetentinga institucija pagal Reglamento (ES) Nr. 575/2013 429a straipsnio 2 dalies paskutinę pastraipą laiko viešosios plėtros kredito įstaiga, skyriaus pozicijas.</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viešosios plėtros kredito įstaigų pozicijos. Valstybės narės centrinės valdžios, regioninės valdžios arba vietos valdžios institucijų tiesiogiai įsteigto subjekto suteiktos skatinamosios paskolos</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d punktas ir 2 bei 3 dalys.</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Pozicijos, susidarančios dėl skatinamųjų paskolų, įskaitant perleidžiamąsias skatinamąsias paskolas, kurias suteikė valstybės narės centrinės valdžios, regioninės valdžios arba vietos valdžios institucijų tiesiogiai įsteigtas subjektas, kurių galima neįtraukti pagal 429a straipsnio 1 dalies d punktą. Taip pat atsižvelgiama į įstaigos, kurią kompetentinga institucija pagal 429a straipsnio 2 dalies paskutinę pastraipą laiko viešosios plėtros kredito įstaiga, skyriaus pozicijas.</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viešosios plėtros kredito įstaigų pozicijos. Valstybės narės centrinės valdžios, regioninės valdžios arba vietos valdžios institucijų įsteigto subjekto, naudojantis tarpininkaujančios kredito įstaigos paslaugomis, suteiktos skatinamosios paskolos</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d punktas ir 2 bei 3 dalys.</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Pozicijos, susidarančios dėl skatinamųjų paskolų, įskaitant perleidžiamąsias skatinamąsias paskolas, kurias suteikė valstybės narės centrinės valdžios, regioninės valdžios arba vietos valdžios institucijų naudojantis tarpininkaujančios kredito įstaigos paslaugomis įsteigtas subjektas, kurių galima neįtraukti pagal 429a straipsnio 1 dalies d punktą. Taip pat atsižvelgiama į įstaigos, kurią kompetentinga institucija pagal 429a straipsnio 2 dalies paskutinę pastraipą laiko viešosios plėtros kredito įstaiga, skyriaus pozicijas.</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Neįtraukiamos pozicijos akcininkų atžvilgiu pagal 429a straipsnio 1 dalies </w:t>
            </w:r>
            <w:proofErr w:type="spellStart"/>
            <w:r>
              <w:rPr>
                <w:rFonts w:ascii="Times New Roman" w:hAnsi="Times New Roman"/>
                <w:b/>
                <w:color w:val="auto"/>
                <w:sz w:val="24"/>
              </w:rPr>
              <w:t>da</w:t>
            </w:r>
            <w:proofErr w:type="spellEnd"/>
            <w:r>
              <w:rPr>
                <w:rFonts w:ascii="Times New Roman" w:hAnsi="Times New Roman"/>
                <w:b/>
                <w:color w:val="auto"/>
                <w:sz w:val="24"/>
              </w:rPr>
              <w:t xml:space="preserve"> punktą</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 xml:space="preserve">Reglamento (ES) Nr. 575/2013 429a straipsnio 1 dalies </w:t>
            </w:r>
            <w:proofErr w:type="spellStart"/>
            <w:r>
              <w:rPr>
                <w:rFonts w:ascii="Times New Roman" w:hAnsi="Times New Roman"/>
                <w:sz w:val="24"/>
              </w:rPr>
              <w:t>da</w:t>
            </w:r>
            <w:proofErr w:type="spellEnd"/>
            <w:r>
              <w:rPr>
                <w:rFonts w:ascii="Times New Roman" w:hAnsi="Times New Roman"/>
                <w:sz w:val="24"/>
              </w:rPr>
              <w:t xml:space="preserve"> punktas.</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Įstaigos pozicijos akcininkų, kurie yra kredito įstaigos, atžvilgiu, jei jos yra užtikrintos užstatu ir tenkinamos visos </w:t>
            </w:r>
            <w:proofErr w:type="spellStart"/>
            <w:r>
              <w:rPr>
                <w:rFonts w:ascii="Times New Roman" w:hAnsi="Times New Roman"/>
                <w:sz w:val="24"/>
              </w:rPr>
              <w:t>da</w:t>
            </w:r>
            <w:proofErr w:type="spellEnd"/>
            <w:r>
              <w:rPr>
                <w:rFonts w:ascii="Times New Roman" w:hAnsi="Times New Roman"/>
                <w:sz w:val="24"/>
              </w:rPr>
              <w:t xml:space="preserve"> punkte nurodytos sąlygos.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ne viešosios plėtros kredito įstaigų (ar skyrių) perleidžiamųjų skatinamųjų paskolų pozicijos. Viešosios plėtros kredito įstaigos suteiktos skatinamosios paskolos</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e punktas ir 2 bei 3 dalys.</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Pozicijų, susidarančių dėl perleidžiamų skatinamųjų paskolų kitoms kredito įstaigoms, dalys, kai skatinamąsias paskolas suteikė viešosios plėtros kredito įstaiga. </w:t>
            </w:r>
            <w:r>
              <w:rPr>
                <w:rFonts w:ascii="Times New Roman" w:hAnsi="Times New Roman"/>
                <w:sz w:val="24"/>
              </w:rPr>
              <w:t>Taip pat atsižvelgiama į įstaigos, kurios kompetentinga institucija pagal 429a straipsnio 2 dalies paskutinę pastraipą nelaiko viešosios plėtros kredito įstaiga, skyriaus pozicijų dalis.</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ne viešosios plėtros kredito įstaigų (ar skyrių) perleidžiamųjų skatinamųjų paskolų pozicijos. Valstybės narės centrinės valdžios, regioninės valdžios arba vietos valdžios institucijų tiesiogiai įsteigto subjekto suteiktos skatinamosios paskolos</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e punktas ir 2 bei 3 dalys.</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Pozicijų, susidarančių dėl perleidžiamų skatinamųjų paskolų kitoms kredito įstaigoms, dalys, kai skatinamąsias paskolas suteikė valstybės narės centrinės valdžios, regioninės valdžios arba vietos valdžios institucijų tiesiogiai įsteigtas subjektas. </w:t>
            </w:r>
            <w:r>
              <w:rPr>
                <w:rFonts w:ascii="Times New Roman" w:hAnsi="Times New Roman"/>
                <w:sz w:val="24"/>
              </w:rPr>
              <w:t>Taip pat atsižvelgiama į įstaigos, kurios kompetentinga institucija pagal 429a straipsnio 2 dalies paskutinę pastraipą nelaiko viešosios plėtros kredito įstaiga, skyriaus pozicijų dalis.</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Neįtraukiamos ne viešosios plėtros kredito įstaigų (ar skyrių) perleidžiamųjų skatinamųjų paskolų pozicijos. Valstybės narės centrinės valdžios, regioninės valdžios arba vietos valdžios institucijų įsteigto subjekto, naudojantis tarpininkaujančios kredito įstaigos paslaugomis, suteiktos skatinamosios paskolos</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429a straipsnio 1 dalies e punktas ir 2 bei 3 dalys.</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Pozicijų, susidarančių dėl perleidžiamų skatinamųjų paskolų kitoms kredito įstaigoms, dalys, kai skatinamąsias paskolas suteikė valstybės narės centrinės valdžios, regioninės valdžios arba vietos valdžios institucijų naudojantis tarpininkaujančios kredito įstaigos paslaugomis įsteigtas subjektas. </w:t>
            </w:r>
            <w:r>
              <w:rPr>
                <w:rFonts w:ascii="Times New Roman" w:hAnsi="Times New Roman"/>
                <w:sz w:val="24"/>
              </w:rPr>
              <w:t xml:space="preserve">Taip pat atsižvelgiama į įstaigos, kurios kompetentinga institucija pagal </w:t>
            </w:r>
            <w:r>
              <w:rPr>
                <w:rFonts w:ascii="Times New Roman" w:hAnsi="Times New Roman"/>
                <w:sz w:val="24"/>
              </w:rPr>
              <w:lastRenderedPageBreak/>
              <w:t>429a straipsnio 2 dalies paskutinę pastraipą nelaiko viešosios plėtros kredito įstaiga, skyriaus pozicijų dalis.</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Nurodyta suma taip pat turi būti įtraukta į pirmiau pateiktus taikytinus laukelius taip, lyg išimtis nebūtų taikoma.</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Pozicijos, atskaitomos pagal KRR 429a straipsnio 1 dalies q punktą</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429a straipsnio 1 dalies q punktas.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Pozicijos, kurioms taikoma Reglamento (ES) Nr. 575/2013 72e straipsnio 5 dalies pirmoje pastraipoje nustatyta tvarka.</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Nurodyta suma taip pat turi būti įtraukta į pirmiau pateiktus taikytinus laukelius taip, lyg išimtis nebūtų taikoma.</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Papildoma sverto koeficiento pozicijos suma pagal KRR 3 straipsnį</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Reglamento (ES) Nr. 575/2013 3 straipsnis.</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Turi būti nurodoma papildoma sverto koeficiento pozicijos suma. Ji apima tik papildomas sumas.</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1 lygio kapitalas. Visiškai įdiegta apibrėžtis</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Reglamento (ES) Nr. 575/2013 429a straipsnio 1 dalies b punktas ir 499 straipsnio 1 dalies a punktas.</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Ji apima visus koregavimus, kurie yra susiję su turto verte ir kurių reikalaujama pagal toliau nurodytus straipsnius:</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Reglamento (ES) Nr. 575/2013 32–35 straipsnius arba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Reglamento (ES) Nr. 575/2013 36–47 straipsnius arba</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Reglamento (ES) Nr. 575/2013 56–60 straipsnius,</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kai taikoma.</w:t>
            </w:r>
          </w:p>
          <w:p w14:paraId="75E8D9BE" w14:textId="0C220404" w:rsidR="00CB48CC" w:rsidRPr="0006442A" w:rsidRDefault="00CB48CC" w:rsidP="000B66BC">
            <w:pPr>
              <w:pStyle w:val="BodyText1"/>
              <w:spacing w:after="240" w:line="240" w:lineRule="auto"/>
              <w:rPr>
                <w:rFonts w:ascii="Times New Roman" w:hAnsi="Times New Roman"/>
                <w:sz w:val="24"/>
              </w:rPr>
            </w:pPr>
            <w:r>
              <w:rPr>
                <w:rFonts w:ascii="Times New Roman" w:hAnsi="Times New Roman"/>
                <w:sz w:val="24"/>
              </w:rPr>
              <w:t xml:space="preserve">Įstaigos atsižvelgia į tokių atskaitymų išimtis, alternatyvas ir netaikymo galimybes, nustatytas Reglamento (ES) Nr. 575/2013 48, 49 ir 79 straipsniuose, neatsižvelgdamos į nukrypti leidžiančią nuostatą, nustatytą Reglamento (ES) Nr. 575/2013 dešimtos dalies I antraštinės dalies 1, 2 ir 4 skyriuose. </w:t>
            </w:r>
            <w:r w:rsidRPr="0006442A">
              <w:rPr>
                <w:rFonts w:ascii="Times New Roman" w:hAnsi="Times New Roman"/>
                <w:sz w:val="24"/>
              </w:rPr>
              <w:t>Kad išvengtų dvigubo skaičiavimo, įstaigos nenurodo koregavimų, jau taikytų pagal Reglamento (ES) Nr. 575/2013 111 straipsnį apskaičiuojant pozicijos vertę {0010;0010}–{0269;0010} laukeliuose, ir nenurodo jokio koregavimo, kuris nėra konkretaus turto vertės atskaitymas.</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Kadangi šios sumos jau atskaitytos iš kapitalo priemonės, jos mažina sverto koeficiento poziciją ir turi būti nurodomos neigiamu skaičiumi.</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Atimta turto suma. 1 lygio kapitalas. Pereinamojo laikotarpio apibrėžtis</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sidRPr="0006442A">
              <w:rPr>
                <w:rFonts w:ascii="Times New Roman" w:hAnsi="Times New Roman"/>
                <w:sz w:val="24"/>
              </w:rPr>
              <w:t>Reglamento (ES) Nr. 575/2013 429a straipsnio 1 dalies b punktas ir 499 straipsnio 1 dalies a punktas</w:t>
            </w:r>
            <w:r>
              <w:rPr>
                <w:sz w:val="24"/>
              </w:rPr>
              <w:t>.</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Ji apima visus koregavimus, kuriais koreguojama turto vertė ir kurių reikalaujama pagal toliau nurodytus straipsnius:</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Reglamento (ES) Nr. 575/2013 32–35 straipsnius arba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Reglamento (ES) Nr. 575/2013 36–47 straipsnius arba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Reglamento (ES) Nr. 575/2013 56–60 straipsnius,</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kai taikoma.</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Įstaigos atsižvelgia į tokių atskaitymų išimtis, alternatyvas ir netaikymo galimybes, nustatytas Reglamento (ES) Nr. 575/2013 48, 49 ir 79 straipsniuose, kartu atsižvelgdamos į nukrypti leidžiančią nuostatą, nustatytą Reglamento (ES) Nr. 575/2013 dešimtos dalies I antraštinės dalies 1, 2 ir 4 skyriuose. Kad išvengtų dvigubo skaičiavimo, įstaigos nenurodo koregavimų, jau taikytų pagal Reglamento (ES) Nr. 575/2013 111 straipsnį apskaičiuojant pozicijos vertę {0010;0010}–{0269;0010} laukeliuose, ir nenurodo jokio koregavimo, kuris nėra konkretaus turto vertės atskaitymas.</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Kadangi šios sumos jau atskaitytos iš kapitalo priemonės, jos mažina sverto koeficiento poziciją ir turi būti nurodomos neigiamu skaičiumi.</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Bendras sverto koeficiento pozicijų matas taikant visiškai įdiegtą 1 lygio kapitalo apibrėžtį</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Įstaigos nurodo visų 0010–0269 eilučių ir 0270 eilutės sumą.</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Bendras sverto koeficiento pozicijų matas taikant pereinamojo laikotarpio 1 lygio kapitalo apibrėžtį</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Įstaigos nurodo visų 0010–0269 eilučių ir 0280 eilutės sumą.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Eilutė ir skiltis</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Kapitalas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1 lygio kapitalas. Visiškai įdiegta apibrėžtis</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3 dalis ir 499 straipsnio 1 dalies a punktas.</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Nurodoma pagal Reglamento (ES) Nr. 575/2013 25 straipsnį apskaičiuota 1 lygio kapitalo suma, neatsižvelgiant į Reglamento (ES) Nr. 575/2013 </w:t>
            </w:r>
            <w:r>
              <w:rPr>
                <w:rFonts w:ascii="Times New Roman" w:hAnsi="Times New Roman"/>
                <w:sz w:val="24"/>
              </w:rPr>
              <w:lastRenderedPageBreak/>
              <w:t>dešimtos dalies I antraštinės dalies 1, 2 ir 4 skyriuose nustatytą nukrypti leidžiančią nuostatą.</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1 lygio kapitalas. Pereinamojo laikotarpio apibrėžtis</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3 dalis ir 499 straipsnio 1 dalies b punktas.</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Nurodoma pagal Reglamento (ES) Nr. 575/2013 25 straipsnį apskaičiuota 1 lygio kapitalo suma, atsižvelgus į Reglamento (ES) Nr. 575/2013 dešimtos dalies I antraštinės dalies 1, 2 ir 4 skyriuose nustatytą nukrypti leidžiančią nuostatą.</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Eilutė ir skiltis</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Sverto koeficientas</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Sverto koeficientas taikant visiškai įdiegtą 1 lygio kapitalo apibrėžtį</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2 dalis ir 499 straipsnio 1 dalis.</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Nurodomas pagal šio priedo II dalies 2 dalį apskaičiuotas sverto koeficientas.</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Sverto koeficientas taikant pereinamojo laikotarpio 1 lygio kapitalo apibrėžtį</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429 straipsnio 2 dalis ir 499 straipsnio 1 dalis.</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Nurodomas pagal šio priedo II dalies 3 dalį apskaičiuotas sverto koeficientas.</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Eilutė ir skiltis</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Reikalavimai: sumos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2 ramsčio kapitalo reikalavimas (P2R) pernelyg didelio sverto rizikai mažinti</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Direktyvos 2013/36/ES 104 ir 104a straipsniai. Papildomos nuosavos lėšos, kurios, kompetentingos institucijos reikalavimu, turi būti skiriamos pernelyg didelio sverto rizikai mažinti, kaip nurodyta Direktyvos 2013/36/ES 104 straipsnyje.</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dalis, kurią atitinka: sudarytina iš CET1 kapitalo</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P2R, nurodyto 0350 eilutėje, dalis, kuri, kompetentingos institucijos reikalavimu, laikytina CET1 kapitalo forma.</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G-SII sverto koeficiento rezervas</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Reglamento (ES) Nr. 575/2013 92 straipsnio 1a dalis.</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lastRenderedPageBreak/>
              <w:t>G-SII nurodo G-SII taikomo sverto koeficiento papildomo mokesčio vertę, nustatytą pagal Reglamento (ES) Nr. 575/2013 92 straipsnio 1a dalį.</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G-SII nurodo šią sumą nuo sverto koeficiento rezervo reikalavimo taikymo pagal Reglamentą (ES) Nr. 575/2013 dienos.</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2 ramsčio rekomendacijos (P2G) pernelyg didelio sverto rizikai mažinti</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Direktyvos 2013/36/ES 104b straipsnis. Papildomos nuosavos lėšos, apie kurias pranešė kompetentinga institucija, skirtos pernelyg didelio sverto rizikai mažinti, kaip nurodyta Direktyvos 2013/36/ES 104b straipsnyje.</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dalis, kurią atitinka: sudarytina iš CET1 kapitalo</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P2G, nurodyto 0380 eilutėje, dalis, kuri, kompetentingos institucijos reikalavimu, laikytina CET1 kapitalo forma.</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dalis, kurią atitinka: sudarytina iš 1 lygio kapitalo</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P2G, nurodyto 0380 eilutėje, dalis, kuri, kompetentingos institucijos reikalavimu, laikytina 1 lygio kapitalo forma.</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Eilutė ir skiltis</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Reikalavimai: koeficientai</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1 lygio sverto koeficiento reikalavimas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Reglamento (ES) Nr. 575/2013 92 straipsnio 1 dalies d punktas, 429a straipsnio 7 dalis ir 429a straipsnio 1 dalies n punktas. Sverto koeficientas, reikalingas pernelyg didelio sverto rizikai mažinti, kaip nurodyta Reglamento (ES) Nr. 575/2013 92 straipsnio 1 dalies d punkte.</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Įstaigos, kurios neįtraukia įstaigos centrinio banko pozicijų, nurodytų Reglamento (ES) Nr. 575/2013 429a straipsnio 1 dalies n punkte, nurodo pakoreguoto sverto koeficiento reikalavimą pagal to reglamento 429a straipsnio 7 dalį.</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Bendras SREP sverto koeficiento reikalavimas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Direktyvos 2013/36/ES 104 ir 104a straipsniai.</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Toliau nurodytų i ir ii punktų suma: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0410 eilutėje nurodyto 1 lygio sverto koeficiento reikalavimo;</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papildomų nuosavų lėšų, kurios, kompetentingos institucijos reikalavimu, turi būti skiriamos pernelyg didelio sverto rizikai mažinti, reikalavimo (P2R) koeficiento, kaip nurodyta Direktyvos 2013/36/ES 104 straipsnyje.</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lastRenderedPageBreak/>
              <w:t>Įstaigos ii punktą apskaičiuoja padalindamos {0350;0010} laukelyje nurodytą vertę iš {0300;0010} nurodytos vertės.</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Jei kompetentinga institucija nėra pateikusi papildomų nuosavų lėšų reikalavimų, nurodomas tik i punktas.</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sudarytina iš CET1 kapitalo</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Papildomų nuosavų lėšų reikalavimų koeficiento, nurodyto 0420 eilutės ii punkte, dalis, kuri, kompetentingos institucijos reikalavimu, laikytina CET1 kapitalo forma.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Įstaigos šią vertę apskaičiuoja padalindamos {0360;0010} laukelyje nurodytą vertę iš {0300;0010} nurodytos vertės.</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Visas sverto koeficiento reikalavimas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92 straipsnio 1a dalis.</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Toliau nurodytų i ir ii punktų suma: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0420 eilutėje nurodyto TSLRR;</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G-SII sverto koeficiento rezervo pagal Reglamento (ES) Nr. 575/2013 92 straipsnio 1a dalį, išreikšto kaip bendro sverto koeficiento pozicijos procentinė dalis.</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Įstaigos ii punktą apskaičiuoja padalindamos {0370;0010} laukelyje nurodytą vertę iš {0300;0010} nurodytos vertės.</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sz w:val="24"/>
              </w:rPr>
              <w:t>G-SII į ii punktą atsižvelgia tik nuo sverto koeficiento rezervo reikalavimo taikymo pagal Reglamentą (ES) Nr. 575/2013 dienos.</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Jei G-SII nėra taikomas joks papildomas mokestis, nurodomas tik i punktas.</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Viso sverto koeficiento reikalavimo (OLRR) ir 2 ramsčio rekomendacijos (P2G) koeficientas</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Direktyvos 2013/36/ES 104b straipsnis.</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Toliau nurodytų i ir ii punktų suma: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0440 eilutėje nurodyto OLRR;</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papildomų nuosavų lėšų reikalavimo, skirto pernelyg didelio sverto rizikai mažinti ir nustatyto įstaigoms pagal Direktyvos 2013/36/ES 104b straipsnį, apie kurį pranešė kompetentinga institucija, išreikšto kaip bendro sverto koeficiento pozicijos procentinė dalis.</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lastRenderedPageBreak/>
              <w:t>Įstaigos ii punktą apskaičiuoja padalindamos {0380;0010} laukelyje nurodytą vertę iš {0300;0010} nurodytos vertės.</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Jei kompetentinga institucija nėra pateikusi P2G, nurodomas tik i punktas.</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ir P2G: sudarytina iš CET1 kapitalo</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Toliau nurodytų i ir ii punktų suma: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papildomų nuosavų lėšų reikalavimų koeficiento, nurodyto 0430 eilutėje, dalis, kuri, kompetentingos institucijos reikalavimu, laikytina CET1 kapitalo forma;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P2G koeficiento, nurodyto 0450 eilutės ii punkte, dalis, kuri, kaip pranešė kompetentinga institucija, laikytina CET 1 kapitalo forma.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Įstaigos ii punktą apskaičiuoja padalindamos {0390;0010} laukelyje nurodytą vertę iš {0300;0010} nurodytos vertės.</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Jei kompetentinga institucija nėra pateikusi P2G, nurodomas tik i punktas.</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ir P2G: sudarytina iš 1 lygio kapitalo</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Toliau nurodytų i, ii ir iii punktų suma: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0420 eilutėje nurodyto bendro SREP sverto koeficiento reikalavimo;</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G-SII sverto koeficiento rezervo pagal Reglamento (ES) Nr. 575/2013 92 straipsnio 1a dalį, išreikšto kaip bendro sverto koeficiento pozicijos procentinė dalis.</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P2G koeficiento, nurodyto 0450 eilutės ii punkte, dalis, kuri, kompetentingos institucijos reikalavimu, laikytina 1 lygio kapitalo forma.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Įstaigos ii punktą apskaičiuoja padalindamos {0370;0010} laukelyje nurodytą vertę iš {0300;0010} nurodytos vertės.</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Įstaigos iii punktą apskaičiuoja padalindamos {0400;0010} laukelyje nurodytą vertę iš {0300;0010} nurodytos vertės.</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Jei G-SII nėra taikomas joks papildomas mokestis, nurodomi tik i ir iii punktai.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Jei kompetentinga institucija nėra pateikusi P2G, nurodomi tik i ir ii punktai.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Eilutė ir skiltis</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Papildomi straipsniai</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Reglamentas (ES) Nr. 575/2013</w:t>
            </w:r>
            <w:r>
              <w:rPr>
                <w:rFonts w:ascii="Times New Roman" w:hAnsi="Times New Roman"/>
                <w:sz w:val="24"/>
              </w:rPr>
              <w:t xml:space="preserve"> </w:t>
            </w:r>
            <w:r>
              <w:rPr>
                <w:rFonts w:ascii="Times New Roman" w:hAnsi="Times New Roman"/>
                <w:color w:val="auto"/>
                <w:sz w:val="24"/>
              </w:rPr>
              <w:t xml:space="preserve">Reglamentas (ES) Nr.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Sverto koeficientas, tarsi nebūtų taikoma laikina tvarka, taikoma tikrąja verte vertinamam nerealizuotam pelnui ir nuostoliams pagal kitas bendrąsias pajamas</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Reglamento (ES) Nr. 575/2013 468 straipsnio 5 dalis.</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Įstaigos, kurios nusprendė taikyti Reglamento (ES) Nr. 575/2013 468 straipsnio 1 dalyje nustatytą laikiną tvarką, nurodo sverto koeficientą, kuris susidarytų, jeigu jos šio straipsnio netaikytų.</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88741"/>
      <w:r>
        <w:rPr>
          <w:rFonts w:ascii="Times New Roman" w:hAnsi="Times New Roman"/>
          <w:b/>
          <w:sz w:val="24"/>
        </w:rPr>
        <w:t>4.</w:t>
      </w:r>
      <w:r>
        <w:tab/>
      </w:r>
      <w:r>
        <w:rPr>
          <w:rFonts w:ascii="Times New Roman" w:hAnsi="Times New Roman"/>
          <w:b/>
          <w:sz w:val="24"/>
        </w:rPr>
        <w:t>C 40.00. Alternatyvus pozicijų mato vertinimas</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Šioje ataskaitos dalyje renkami duomenys apie alternatyvų išvestinių finansinių priemonių, VPĮFS, nebalansinių straipsnių, viešojo sektoriaus investicijų, kurioms taikoma išimtis, ir skatinamųjų paskolų pozicijų, kurioms taikoma išimtis, vertinimą.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Apskaitines balansines vertes LR1 formoje įstaigos nustato remdamosi Reglamento (ES) Nr. 575/2013 4 straipsnio 1 dalies 77 punkte nurodyta taikytina apskaitos sistema. Žodžių junginiu „apskaitinė vertė darant prielaidą, kad netaikoma užskaita arba kitas KRM būdas“ nurodoma, kad nustatant apskaitinę balansinę vertę neatsižvelgiama į užskaitos arba kito rizikos mažinimo būdo poveikį.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 xml:space="preserve">Įstaigos informaciją LR1 formoje nurodo taip, tarsi straipsniai su neigiamu ženklu </w:t>
      </w:r>
      <w:proofErr w:type="spellStart"/>
      <w:r>
        <w:rPr>
          <w:rFonts w:ascii="Times New Roman" w:hAnsi="Times New Roman"/>
          <w:sz w:val="24"/>
        </w:rPr>
        <w:t>LRCalc</w:t>
      </w:r>
      <w:proofErr w:type="spellEnd"/>
      <w:r>
        <w:rPr>
          <w:rFonts w:ascii="Times New Roman" w:hAnsi="Times New Roman"/>
          <w:sz w:val="24"/>
        </w:rPr>
        <w:t xml:space="preserve"> formoje (pavyzdžiui, išimtys ir (arba) atskaitymai), išskyrus {0270;0010} {0280;0010} eilutes, pagal šio priedo I dalies 9 punkte nurodytą ženklų tvarką nebūtų taikomi.</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40.00 formos {r0410;c0010} laukelyje bendrą turto sumą nurodo tik:</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didelės įstaigos, kurios yra G-SII arba yra išleidusios vertybinių popierių, kuriais leidžiama prekiauti reguliuojamoje rinkoje, – kas pusmetį;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didelės įstaigos, išskyrus G-SII, kurios nėra biržinės įstaigos, – kas metus;</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kitos įstaigos, išskyrus dideles įstaigas ir mažas bei nesudėtingas įstaigas, kurios yra išleidusios vertybinių popierių, kuriais leidžiama prekiauti reguliuojamoje rinkoje, – kas metus.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Eilutė ir skiltis</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Nuorodos į teisės aktus ir nurodymai</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Išvestinės finansinės priemonės. Apskaitinė balansinė vertė</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Nurodoma {0020;010}, {0050;0010} ir {0060;0010} laukelių suma.</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Apskaitinė vertė darant prielaidą, kad netaikoma užskaita arba kitas KRM būdas</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Nurodoma {0020;0020}, {0050;0020} ir {0060;0020} laukelių suma.</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Tariamoji suma</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Nurodoma {0020;0070}, {0050;0070} ir {0060;0070} laukelių suma.</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(parduotas užtikrinimas). Apskaitinė balansinė vertė</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Reglamento (ES) Nr. 575/2013 4 straipsnio 1 dalies 77 punktas. Kredito išvestinių finansinių priemonių apskaitinė balansinė vertė pagal taikytiną apskaitos sistemą, kai įstaiga parduoda kredito užtikrinimą sandorio šaliai ir sutartis pripažįstama kaip į balansą įtrauktas turtas.</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Kredito išvestinės finansinės priemonės (parduotas užtikrinimas). Apskaitinė vertė darant prielaidą, kad netaikoma užskaita arba kitas KRM būdas</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Reglamento (ES) Nr. 575/2013 4 straipsnio 1 dalies 77 punktas. Kredito išvestinių finansinių priemonių apskaitinė balansinė vertė pagal taikytiną apskaitos sistemą, kai įstaiga parduoda kredito užtikrinimą sandorio šaliai ir sutartis pripažįstama kaip į balansą įtrauktas turtas, neatsižvelgiant į rizikos ribojimo ar apskaitinės užskaitos arba kito KRM būdo poveikį (t. y. panaikinamas bet koks apskaitinės užskaitos arba KRM poveikis apskaitinei vertei).</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(parduotas užtikrinimas). Tariamoji suma</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Nurodoma {0030;0070} ir {0040;0070} laukelių suma.</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(parduotas užtikrinimas). Apribota tariamoji suma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tariamąją sumą, kuria grindžiamos kredito išvestinės finansinės priemonės (parduotu užtikrinimu), kaip {0020; 0070} laukelyje, sumažinta bet kokių neigiamų tikrosios vertės pokyčių suma, įtraukta į 1 lygio kapitalą pasirašytų kredito išvestinių finansinių priemonių atžvilgiu.</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(parduotas užtikrinimas), kurioms taikoma sandorių užbaigimo nuostata. Tariamoji suma</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Įstaigos nurodo tariamąją sumą, kuria grindžiamos kredito išvestinės finansinės priemonės, kai įstaiga parduoda kredito užtikrinimą sandorio šaliai, kuriai taikoma sandorių užbaigimo nuostata.</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 xml:space="preserve">Sandorių užbaigimo nuostata apibrėžiama kaip nuostata, kuria įsipareigojimų neįvykdymo atveju, įskaitant kitos sandorio šalies bankrotą ar nemokumą, </w:t>
            </w:r>
            <w:r>
              <w:rPr>
                <w:rFonts w:ascii="Times New Roman" w:hAnsi="Times New Roman"/>
                <w:sz w:val="24"/>
              </w:rPr>
              <w:lastRenderedPageBreak/>
              <w:t>įsipareigojimų nepažeidžiančiai šaliai suteikiama teisė nutraukti ir laiku užbaigti visus pagal susitarimą numatytus sandorius.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Įstaigos atsižvelgia į visas kredito išvestines finansines priemones, ne vien į tas, kurios priskirtos prekybos knygai.</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(parduotas užtikrinimas), kurioms netaikoma sandorių užbaigimo nuostata. Tariamoji suma</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Įstaigos nurodo tariamąją sumą, kuria grindžiamos kredito išvestinės finansinės priemonės, kai įstaiga parduoda kredito užtikrinimą sandorio šaliai, kuriai netaikoma sandorių užbaigimo nuostata.</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atsižvelgia į visas kredito išvestines finansines priemones, ne vien į tas, kurios priskirtos prekybos knygai.</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(įsigytas užtikrinimas). Apskaitinė balansinė vertė</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 straipsnio 1 dalies 77 punktas. Kredito išvestinių finansinių priemonių apskaitinė balansinė vertė pagal taikytiną apskaitos sistemą, kai įstaiga įsigyja kredito užtikrinimą iš sandorio šalies, o sutartis pripažįstama kaip į balansą įtrauktas turtas.</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atsižvelgia į visas kredito išvestines finansines priemones, ne vien į tas, kurios priskirtos prekybos knygai.</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(įsigytas užtikrinimas). Apskaitinė vertė darant prielaidą, kad netaikoma užskaita arba kitas KRM būdas</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 straipsnio 1 dalies 77 punktas. Kredito išvestinių finansinių priemonių apskaitinė balansinė vertė pagal taikytiną apskaitos sistemą, kai įstaiga įsigyja kredito užtikrinimą iš sandorio šalies, o sutartis pripažįstama kaip į balansą įtrauktas turtas, neatsižvelgiant į apskaitinės užskaitos arba kito KRM būdo poveikį (t. y. panaikinamas bet koks apskaitinės užskaitos arba KRM poveikis apskaitinei vertei).</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atsižvelgia į visas kredito išvestines finansines priemones, ne vien į tas, kurios priskirtos prekybos knygai.</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Kredito išvestinės finansinės priemonės (įsigytas užtikrinimas). Tariamoji suma</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Įstaigos nurodo tariamąją sumą, kuria grindžiamos kredito išvestinės finansinės priemonės, kai įstaiga įsigyja kredito užtikrinimą iš sandorio šalies.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atsižvelgia į visas kredito išvestines finansines priemones, ne vien į tas, kurios priskirtos prekybos knygai.</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(įsigytas užtikrinimas). Apribota tariamoji suma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Įstaigos nurodo tariamąją sumą, kuria grindžiamos kredito išvestinės finansinės priemonės (įsigytu užtikrinimu), kaip {0050;0070} laukelyje, sumažintą bet kokių teigiamų tikrosios vertės pokyčių suma, įtraukta į 1 lygio kapitalą įsigytų kredito išvestinių finansinių priemonių atžvilgiu.</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Kredito išvestinės finansinės priemonės (įsigytas užtikrinimas). Apribota tariamoji suma (tie patys referenciniai pavadinimai)</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Įstaigos nurodo tariamąją sumą, kuria grindžiamos kredito išvestinės finansinės priemonės, kai įstaiga įsigyja kredito užtikrinimą tuo pačiu susijusiu referenciniu pavadinimu, kaip tos kredito išvestinės finansinės priemonės, kurias yra pasirašiusi informaciją teikianti įstaiga.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Nurodant šio laukelio vertę susiję referenciniai pavadinimai laikomi tapačiais, jei jais nurodomas tas pats juridinis asmuo ir tas pats prioritetas.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Referencinių subjektų grupės atžvilgiu įsigytas kredito užtikrinimas laikomas tapačiu, jei jis yra ekonomiškai lygiavertis užtikrinimui, įsigyjamam kiekvieno atskiro grupės subjekto atžvilgiu.</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Jei įstaiga įsigyja kredito užtikrinimą referencinių pavadinimų grupės atžvilgiu, šis kredito užtikrinimas laikomas tapačiu, tik jei įsigytas kredito užtikrinimas apima visus grupės, kurios pavadinimu parduotas kredito užtikrinimas, pogrupius. Kitaip tariant, tarpusavio užskaitymas gali būti pripažįstamas, tik jei sutampa abiejų sandorių referencinių subjektų grupė ir subordinacijos lygis.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Su kiekvienu referenciniu pavadinimu susijusios įsigyto kredito užtikrinimo tariamosios sumos, kurios nurodomos šiame laukelyje, negali viršyti {0020;0075} ir {0050;0075} laukeliuose nurodytų sumų.</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Apskaitinė balansinė vertė</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 straipsnio 1 dalies 77 punktas.</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Įstaigos nurodo Reglamento (ES) Nr. 575/2013 II priede išvardytų sutarčių apskaitinę balansinę vertę pagal taikytiną apskaitos sistemą, kai sutartys pripažįstamos kaip į balansą įtrauktas turtas.</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Apskaitinė vertė darant prielaidą, kad netaikoma užskaita arba kitas KRM būdas</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Reglamento (ES) Nr. 575/2013 4 straipsnio 1 dalies 77 punktas. Reglamento (ES) Nr. 575/2013 II priede išvardytų sutarčių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Tariamoji suma</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Šiame laukelyje pateikiama tariamoji suma, kuria grindžiamos sutartys, išvardytos Reglamento (ES) Nr. 575/2013 II priede.</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Vertybinių popierių įsigijimo finansavimo sandoriai. Apskaitinė balansinė vertė</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Reglamento (ES) Nr. 575/2013 4 straipsnio 1 dalies 77 punktas. VPĮFS apskaitinė balansinė vertė pagal taikytiną apskaitos sistemą, kai sutartys pripažįstamos kaip į balansą įtrauktas turtas.</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Į šį laukelį įstaigos neįtraukia gautų pinigų arba garantijų, pateiktų sandorio šaliai pagal pirmiau minėtus sandorius ir nurodytų balanse (t. y. neįvykdyti pripažinimo nutraukimo apskaitos kriterijai). Šiuos duomenis įstaigos įtraukia į {0090,0010} laukelį.</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Vertybinių popierių įsigijimo finansavimo sandoriai. Apskaitinė vertė darant prielaidą, kad netaikoma užskaita arba kitas KRM būdas</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Reglamento (ES) Nr. 575/2013 4 straipsnio 1 dalies 77 punktas.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Jeigu VPĮFS pagal taikytiną apskaitos sistemą apskaitoje tvarkomi kaip pardavimas, įstaigos panaikina visus su pardavimu susijusius apskaitos įrašus.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Į šį laukelį įstaigos neįtraukia gautų pinigų arba garantijų, pateiktų sandorio šaliai pagal pirmiau minėtus sandorius ir nurodytų balanse (t. y. neįvykdyti pripažinimo nutraukimo apskaitos kriterijai). Šiuos duomenis įstaigos įtraukia į {0090,0020} laukelį.</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Kitas turtas. Apskaitinė balansinė vertė</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Reglamento (ES) Nr. 575/2013 4 straipsnio 1 dalies 77 punktas. Viso turto, išskyrus Reglamento (ES) Nr. 575/2013 II priede išvardytas sutartis, kredito išvestines finansines priemones ir VPĮFS, apskaitinė balansinė vertė pagal taikytiną apskaitos sistemą.</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Kitas turtas. Apskaitinė vertė darant prielaidą, kad netaikoma užskaita arba kitas KRM būdas</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Reglamento (ES) Nr. 575/2013 4 straipsnio 1 dalies 77 punktas. Viso turto, išskyrus Reglamento (ES) Nr. 575/2013 II priede išvardytas sutartis, kredito išvestines finansines priemones ir VPĮFS, apskaitinė balansinė vertė pagal taikytiną apskaitos sistemą, neatsižvelgiant į apskaitinės užskaitos arba kito KRM būdo poveikį (t. y. panaikinamas bet koks apskaitinės užskaitos arba KRM poveikis apskaitinei vertei).</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Nebalansiniai straipsniai</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Įstaigos nurodo nebalansinių straipsnių nominaliąją vertę. Pagal Reglamento (ES) Nr. 575/2013 429f straipsnio 1 dalį, šiame laukelyje įstaigos nenurodo Reglamento (ES) Nr. 575/2013 II priede išvardytų sutarčių, kredito išvestinių finansinių priemonių ir VPĮFS.</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Pagal išvestinių finansinių priemonių sandorius gautos piniginės užtikrinimo priemonės. Apskaitinė vertė darant prielaidą, kad netaikoma užskaita arba kitas KRM būdas</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Pagal išvestinių finansinių priemonių sandorius gautų piniginių užtikrinimo priemonių apskaitinė balansinė vertė pagal taikytiną apskaitos sistemą, neatsižvelgiant į apskaitinės užskaitos arba kito KRM būdo poveikį (t. y. panaikinamas bet koks apskaitinės užskaitos arba KRM poveikis apskaitinei vertei).</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Šiame laukelyje nurodomi grynieji pinigai – visa grynųjų pinigų, įskaitant monetas ir banknotus atitinkama valiuta, suma. Įtraukiama visa indėlių centriniuose bankuose suma, kurią susidarius nepalankiausioms sąlygoms galima atsiimti. Šiame laukelyje įstaigos nenurodo kitose įstaigose laikomų indėlių grynaisiais pinigais.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Sumos, gautinos už pinigines užtikrinimo priemones, suteiktas pagal išvestinių finansinių priemonių sandorius. Apskaitinė vertė darant prielaidą, kad netaikoma užskaita arba kitas KRM būdas</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Apskaitinė vertė darant prielaidą, kad netaikoma užskaita arba kitas KRM būdas Sumų, gautinų už pinigines užtikrinimo priemones, suteiktas pagal išvestinių finansinių priemonių sandorius, apskaitinė balansinė vertė pagal taikytiną apskaitos sistemą, neatsižvelgiant į apskaitinės užskaitos arba kito KRM būdo poveikį (t. y. panaikinamas bet koks apskaitinės užskaitos arba KRM poveikis apskaitinei vertei).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 xml:space="preserve">Įstaigos, kurioms pagal taikytiną apskaitos sistemą leidžiama atskaityti sumas, gautinas už suteiktas pinigines užtikrinimo priemones, iš susijusių išvestinių finansinių priemonių įsipareigojimų (neigiama tikroji vertė) ir kurios nutaria </w:t>
            </w:r>
            <w:r>
              <w:rPr>
                <w:rFonts w:ascii="Times New Roman" w:hAnsi="Times New Roman"/>
                <w:sz w:val="24"/>
              </w:rPr>
              <w:lastRenderedPageBreak/>
              <w:t>tai daryti, atlieka atvirkštinę užskaitą ir nurodo grynąsias gautinas grynųjų pinigų sumas.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Pagal VPĮFS gauti vertybiniai popieriai, pripažinti kaip turtas. Apskaitinė vertė darant prielaidą, kad netaikoma užskaita arba kitas KRM būdas</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Pagal VPĮFS gautų vertybinių popierių, pripažintų kaip turtas, apskaitinė balansinė vertė pagal taikytiną apskaitos sistemą, neatsižvelgiant į apskaitinės užskaitos arba kito KRM būdo poveikį (t. y. panaikinamas bet koks apskaitinės užskaitos arba KRM poveikis apskaitinei vertei).</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Tarpininkaujamasis grynųjų pinigų skolinimas pagal VPĮFS (gautinos grynųjų pinigų sumos). Apskaitinė vertė darant prielaidą, kad netaikoma užskaita arba kitas KRM būdas</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Pagal reikalavimus atitinkantį tarpininkaujamąjį grynųjų pinigų skolinimo sandorį (angl. </w:t>
            </w:r>
            <w:proofErr w:type="spellStart"/>
            <w:r>
              <w:rPr>
                <w:rFonts w:ascii="Times New Roman" w:hAnsi="Times New Roman"/>
                <w:i/>
                <w:iCs/>
                <w:sz w:val="24"/>
              </w:rPr>
              <w:t>cash</w:t>
            </w:r>
            <w:proofErr w:type="spellEnd"/>
            <w:r>
              <w:rPr>
                <w:rFonts w:ascii="Times New Roman" w:hAnsi="Times New Roman"/>
                <w:i/>
                <w:iCs/>
                <w:sz w:val="24"/>
              </w:rPr>
              <w:t xml:space="preserve"> </w:t>
            </w:r>
            <w:proofErr w:type="spellStart"/>
            <w:r>
              <w:rPr>
                <w:rFonts w:ascii="Times New Roman" w:hAnsi="Times New Roman"/>
                <w:i/>
                <w:iCs/>
                <w:sz w:val="24"/>
              </w:rPr>
              <w:t>conduit</w:t>
            </w:r>
            <w:proofErr w:type="spellEnd"/>
            <w:r>
              <w:rPr>
                <w:rFonts w:ascii="Times New Roman" w:hAnsi="Times New Roman"/>
                <w:i/>
                <w:iCs/>
                <w:sz w:val="24"/>
              </w:rPr>
              <w:t xml:space="preserve"> </w:t>
            </w:r>
            <w:proofErr w:type="spellStart"/>
            <w:r>
              <w:rPr>
                <w:rFonts w:ascii="Times New Roman" w:hAnsi="Times New Roman"/>
                <w:i/>
                <w:iCs/>
                <w:sz w:val="24"/>
              </w:rPr>
              <w:t>lending</w:t>
            </w:r>
            <w:proofErr w:type="spellEnd"/>
            <w:r>
              <w:rPr>
                <w:rFonts w:ascii="Times New Roman" w:hAnsi="Times New Roman"/>
                <w:sz w:val="24"/>
              </w:rPr>
              <w:t>, CCLT) už vertybinių popierių savininkui perskolintus grynuosius pinigus gautinų grynųjų pinigų apskaitinė balansinė vertė pagal taikytiną apskaitos sistemą, neatsižvelgiant į apskaitinės užskaitos arba kito KRM būdo poveikį (t. y. panaikinamas bet koks apskaitinės užskaitos arba KRM poveikis apskaitinei vertei).</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Šiame laukelyje nurodomi grynieji pinigai – visa grynųjų pinigų, įskaitant monetas ir banknotus atitinkama valiuta, suma. Įtraukiama visa indėlių centriniuose bankuose suma, kurią susidarius nepalankiausioms sąlygoms galima atsiimti. Šiame laukelyje įstaigos nenurodo kitose įstaigose laikomų indėlių grynaisiais pinigais.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CCLT – dviejų sandorių derinys, kai įstaiga pasiskolina vertybinių popierių iš jų savininkų ir juos perskolina vertybinių popierių gavėjui. Kartu įstaiga iš vertybinių popierių gavėjo gauna piniginę užtikrinimo priemonę ir gautus pinigus perskolina vertybinių popierių savininkui. Reikalavimus atitinkantis CCLT atitinka visas šias sąlygas: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tab/>
            </w:r>
            <w:r>
              <w:rPr>
                <w:rFonts w:ascii="Times New Roman" w:hAnsi="Times New Roman"/>
                <w:color w:val="000000"/>
                <w:sz w:val="24"/>
              </w:rPr>
              <w:t>abu atskiri sandoriai, apimantys reikalavimus atitinkantį CCLT, įvykdomi tą pačią prekybos dieną, o tarptautiniai sandoriai – artimiausiomis darbo dienomis;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tab/>
            </w:r>
            <w:r>
              <w:rPr>
                <w:rFonts w:ascii="Times New Roman" w:hAnsi="Times New Roman"/>
                <w:color w:val="000000"/>
                <w:sz w:val="24"/>
              </w:rPr>
              <w:t>kai CCLT sudarančiuose sandoriuose terminas nenurodytas, įstaiga turi teisės aktais užtikrintą teisę bet kuriuo metu be išankstinio pranešimo uždaryti bet kurią CCLT sandorio pusę, t. y. abu jį sudarančius sandorius;</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tab/>
            </w:r>
            <w:r>
              <w:rPr>
                <w:rFonts w:ascii="Times New Roman" w:hAnsi="Times New Roman"/>
                <w:color w:val="000000"/>
                <w:sz w:val="24"/>
              </w:rPr>
              <w:t>kai CCLT sudarančiuose sandoriuose terminas nurodytas, dėl šio sandorio neatsiranda įstaigos terminų nesutapimų; įstaiga turi teisės aktais užtikrintą teisę bet kuriuo metu be išankstinio pranešimo uždaryti bet kurią CCLT sandorio pusę, t. y. abu jį sudarančius sandorius;</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lastRenderedPageBreak/>
              <w:t>d)</w:t>
            </w:r>
            <w:r>
              <w:tab/>
            </w:r>
            <w:r>
              <w:rPr>
                <w:rFonts w:ascii="Times New Roman" w:hAnsi="Times New Roman"/>
                <w:sz w:val="24"/>
              </w:rPr>
              <w:t>dėl jo neatsiranda jokių kitų papildomų pozicijų.</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Viešojo sektoriaus investicijos. Reikalavimai centrinei valdžiai. Apskaitinė balansinė vertė</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Jeigu įstaiga yra viešosios plėtros kredito įstaiga – turto, kurį sudaro su viešojo sektoriaus investicijomis susiję reikalavimai centrinei valdžiai, apskaitinė balansinė vertė pagal taikytiną apskaitos sistemą.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apskaitines balansines vertes.</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Viešojo sektoriaus investicijos. Reikalavimai regioninei valdžiai. Apskaitinė balansinė vertė</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Jeigu įstaiga yra viešosios plėtros kredito įstaiga – turto, kurį sudaro su viešojo sektoriaus investicijomis susiję reikalavimai regioninei valdžiai, apskaitinė balansinė vertė pagal taikytiną apskaitos sistemą.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apskaitines balansines vertes.</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Viešojo sektoriaus investicijos. Reikalavimai vietos valdžiai. Apskaitinė balansinė vertė</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viešojo sektoriaus investicijomis susiję reikalavimai vietos valdžios institucijoms, apskaitinė balansinė vertė pagal taikytiną apskaitos sistemą.</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apskaitines balansines vertes.</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Viešojo sektoriaus investicijos. Reikalavimai viešojo sektoriaus subjektams. Apskaitinė balansinė vertė</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viešojo sektoriaus investicijomis susiję reikalavimai viešojo sektoriaus subjektams, apskaitinė balansinė vertė pagal taikytiną apskaitos sistemą.</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Skatinamosios paskolos. Reikalavimai centrinei valdžiai. Apskaitinė balansinė vertė</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lastRenderedPageBreak/>
              <w:t xml:space="preserve">Jeigu įstaiga yra viešosios plėtros kredito įstaiga – turto, kurį sudaro su skatinamosiomis paskolomis susiję reikalavimai centrinei valdžiai, apskaitinė balansinė vertė pagal taikytiną apskaitos sistemą.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centrinei valdžiai. Tariamoji suma / nominalioji vertė</w:t>
            </w:r>
          </w:p>
          <w:p w14:paraId="7A0E36C1" w14:textId="77777777" w:rsidR="006E4F4E" w:rsidRPr="0006442A" w:rsidRDefault="001E5A9A" w:rsidP="000B66BC">
            <w:pPr>
              <w:pStyle w:val="BodyText1"/>
              <w:spacing w:after="240" w:line="240" w:lineRule="auto"/>
              <w:rPr>
                <w:rFonts w:ascii="Times New Roman" w:hAnsi="Times New Roman"/>
                <w:sz w:val="24"/>
              </w:rPr>
            </w:pPr>
            <w:r w:rsidRPr="0006442A">
              <w:rPr>
                <w:rFonts w:ascii="Times New Roman" w:hAnsi="Times New Roman"/>
                <w:sz w:val="24"/>
              </w:rPr>
              <w:t>Jeigu įstaiga yra viešosios plėtros kredito įstaiga – nebalansinių straipsnių nominalioji suma, susijusi su centrinei valdžiai suteiktų skatinamųjų paskolų nepanaudota dalimi.</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Skatinamosios paskolos. Reikalavimai regioninei valdžiai. Apskaitinė balansinė vertė</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skatinamosiomis paskolomis susiję reikalavimai regioninei valdžiai, apskaitinė balansinė vertė pagal taikytiną apskaitos sistemą.</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regioninei valdžiai. Tariamoji suma / nominalioji vertė</w:t>
            </w:r>
          </w:p>
          <w:p w14:paraId="645C841D" w14:textId="1E4EDCB5" w:rsidR="006918E9" w:rsidRDefault="001943A2" w:rsidP="000B66BC">
            <w:pPr>
              <w:pStyle w:val="BodyText1"/>
              <w:spacing w:after="240" w:line="240" w:lineRule="auto"/>
              <w:rPr>
                <w:rFonts w:ascii="Times New Roman" w:hAnsi="Times New Roman"/>
                <w:bCs/>
                <w:sz w:val="24"/>
                <w:szCs w:val="24"/>
              </w:rPr>
            </w:pPr>
            <w:r>
              <w:rPr>
                <w:sz w:val="24"/>
              </w:rPr>
              <w:t>Jeigu įstaiga yra viešosios plėtros kredito įstaiga – nebalansinių straipsnių nominalioji suma, susijusi su regioninei valdžiai suteiktų skatinamųjų paskolų nepanaudota dalimi.</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Skatinamosios paskolos. Reikalavimai vietos valdžiai. Apskaitinė balansinė vertė</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skatinamosiomis paskolomis susiję reikalavimai vietos valdžios institucijoms, apskaitinė balansinė vertė pagal taikytiną apskaitos sistemą.</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Taip pat atsižvelgiama į įstaigos, kurią kompetentinga institucija pagal 429a straipsnio 2 dalies paskutinę pastraipą laiko viešosios plėtros kredito įstaiga, skyriaus apskaitines balansines vertes.</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vietos valdžiai. Tariamoji suma / nominalioji vertė</w:t>
            </w:r>
          </w:p>
          <w:p w14:paraId="38BCF0DC" w14:textId="6D975688" w:rsidR="006918E9" w:rsidRDefault="001943A2" w:rsidP="000B66BC">
            <w:pPr>
              <w:pStyle w:val="BodyText1"/>
              <w:spacing w:after="240" w:line="240" w:lineRule="auto"/>
              <w:rPr>
                <w:rFonts w:ascii="Times New Roman" w:hAnsi="Times New Roman"/>
                <w:bCs/>
                <w:sz w:val="24"/>
                <w:szCs w:val="24"/>
              </w:rPr>
            </w:pPr>
            <w:r w:rsidRPr="0006442A">
              <w:rPr>
                <w:rFonts w:ascii="Times New Roman" w:hAnsi="Times New Roman"/>
                <w:sz w:val="24"/>
              </w:rPr>
              <w:t>Jeigu įstaiga yra viešosios plėtros kredito įstaiga – nebalansinių straipsnių nominalioji suma, susijusi su vietos valdžios institucijoms suteiktų skatinamųjų paskolų nepanaudota dalimi</w:t>
            </w:r>
            <w:r>
              <w:rPr>
                <w:sz w:val="24"/>
              </w:rPr>
              <w:t>.</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Skatinamosios paskolos. Reikalavimai viešojo sektoriaus subjektams. Apskaitinė balansinė vertė</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skatinamosiomis paskolomis susiję reikalavimai viešojo sektoriaus subjektams, apskaitinė balansinė vertė pagal taikytiną apskaitos sistemą.</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viešojo sektoriaus subjektams. Tariamoji suma / nominalioji vertė</w:t>
            </w:r>
          </w:p>
          <w:p w14:paraId="5C047141" w14:textId="77777777" w:rsidR="006918E9" w:rsidRPr="0006442A" w:rsidRDefault="001943A2" w:rsidP="006918E9">
            <w:pPr>
              <w:pStyle w:val="BodyText1"/>
              <w:spacing w:after="240" w:line="240" w:lineRule="auto"/>
              <w:rPr>
                <w:rFonts w:ascii="Times New Roman" w:hAnsi="Times New Roman"/>
                <w:sz w:val="24"/>
              </w:rPr>
            </w:pPr>
            <w:r w:rsidRPr="0006442A">
              <w:rPr>
                <w:rFonts w:ascii="Times New Roman" w:hAnsi="Times New Roman"/>
                <w:sz w:val="24"/>
              </w:rPr>
              <w:t>Jeigu įstaiga yra viešosios plėtros kredito įstaiga – nebalansinių straipsnių nominalioji suma, susijusi su viešojo sektoriaus subjektams suteiktų skatinamųjų paskolų nepanaudota dalimi.</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ne finansų bendrovėms. Apskaitinė balansinė vertė</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skatinamosiomis paskolomis susiję reikalavimai ne finansų bendrovėms, apskaitinė balansinė vertė pagal taikytiną apskaitos sistemą.</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lastRenderedPageBreak/>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ne finansų bendrovėms. Tariamoji suma / nominalioji vertė</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6442A">
              <w:rPr>
                <w:rFonts w:ascii="Times New Roman" w:hAnsi="Times New Roman"/>
                <w:sz w:val="24"/>
              </w:rPr>
              <w:t>Jeigu įstaiga yra viešosios plėtros kredito įstaiga – nebalansinių straipsnių nominalioji suma, susijusi su ne finansų bendrovėms suteiktų skatinamųjų paskolų nepanaudota dalimi</w:t>
            </w:r>
            <w:r>
              <w:rPr>
                <w:sz w:val="24"/>
              </w:rPr>
              <w:t>.</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namų ūkiams. Apskaitinė balansinė vertė</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Jeigu įstaiga yra viešosios plėtros kredito įstaiga – turto, kurį sudaro su skatinamosiomis paskolomis susiję reikalavimai namų ūkiams, apskaitinė balansinė vertė pagal taikytiną apskaitos sistemą.</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Skatinamosios paskolos. Reikalavimai namų ūkiams. Tariamoji suma / nominalioji vertė</w:t>
            </w:r>
          </w:p>
          <w:p w14:paraId="5C098B17" w14:textId="561EFEA4" w:rsidR="00D126C3" w:rsidRPr="0006442A" w:rsidRDefault="00D126C3" w:rsidP="000B66BC">
            <w:pPr>
              <w:pStyle w:val="BodyText1"/>
              <w:spacing w:after="240" w:line="240" w:lineRule="auto"/>
              <w:rPr>
                <w:rFonts w:ascii="Times New Roman" w:hAnsi="Times New Roman"/>
                <w:sz w:val="24"/>
              </w:rPr>
            </w:pPr>
            <w:r w:rsidRPr="0006442A">
              <w:rPr>
                <w:rFonts w:ascii="Times New Roman" w:hAnsi="Times New Roman"/>
                <w:sz w:val="24"/>
              </w:rPr>
              <w:t>Jeigu įstaiga yra viešosios plėtros kredito įstaiga – nebalansinių straipsnių nominalioji suma, susijusi su namų ūkiams suteiktų skatinamųjų paskolų nepanaudota dalimi.</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nominaliąsias sumas.</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6442A" w:rsidRDefault="00462408" w:rsidP="000B66BC">
            <w:pPr>
              <w:pStyle w:val="BodyText1"/>
              <w:tabs>
                <w:tab w:val="left" w:pos="4755"/>
              </w:tabs>
              <w:spacing w:after="240" w:line="240" w:lineRule="auto"/>
              <w:rPr>
                <w:rFonts w:ascii="Times New Roman" w:hAnsi="Times New Roman"/>
                <w:b/>
                <w:sz w:val="24"/>
              </w:rPr>
            </w:pPr>
            <w:r w:rsidRPr="0006442A">
              <w:rPr>
                <w:rFonts w:ascii="Times New Roman" w:hAnsi="Times New Roman"/>
                <w:b/>
                <w:sz w:val="24"/>
              </w:rPr>
              <w:t>Skatinamosios paskolos. Perleidžiamasis finansavimas. Apskaitinė balansinė vertė</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Jeigu įstaiga yra viešosios plėtros kredito įstaiga – perleidžiamųjų skatinamųjų paskolų apskaitinė balansinė vertė pagal taikytiną apskaitos sistemą, jei skatinamąsias paskolas suteikė ne pati įstaiga.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Taip pat atsižvelgiama į įstaigos, kurią kompetentinga institucija pagal 429a straipsnio 2 dalies paskutinę pastraipą laiko viešosios plėtros kredito įstaiga, skyriaus apskaitines balansines vertes.</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6442A" w:rsidRDefault="004A107B" w:rsidP="000B66BC">
            <w:pPr>
              <w:pStyle w:val="BodyText1"/>
              <w:tabs>
                <w:tab w:val="left" w:pos="4755"/>
              </w:tabs>
              <w:spacing w:after="240" w:line="240" w:lineRule="auto"/>
              <w:rPr>
                <w:rFonts w:ascii="Times New Roman" w:hAnsi="Times New Roman"/>
                <w:b/>
                <w:sz w:val="24"/>
              </w:rPr>
            </w:pPr>
            <w:r w:rsidRPr="0006442A">
              <w:rPr>
                <w:rFonts w:ascii="Times New Roman" w:hAnsi="Times New Roman"/>
                <w:b/>
                <w:sz w:val="24"/>
              </w:rPr>
              <w:t>Skatinamosios paskolos. Perleidžiamasis finansavimas. Tariamoji suma / nominalioji vertė</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Jeigu įstaiga yra viešosios plėtros kredito įstaiga – nebalansinių straipsnių nominalioji suma, susijusi su perleidžiamųjų skatinamųjų paskolų nepanaudota dalimi, jei skatinamąsias paskolas suteikė ne pati įstaiga.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Taip pat atsižvelgiama į įstaigos, kurią kompetentinga institucija pagal 429a straipsnio 2 dalies paskutinę pastraipą laiko viešosios plėtros kredito įstaiga, skyriaus nominaliąsias sumas.</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6442A" w:rsidRDefault="00703CC2" w:rsidP="000B66BC">
            <w:pPr>
              <w:pStyle w:val="BodyText1"/>
              <w:tabs>
                <w:tab w:val="left" w:pos="4755"/>
              </w:tabs>
              <w:spacing w:after="240" w:line="240" w:lineRule="auto"/>
              <w:rPr>
                <w:rFonts w:ascii="Times New Roman" w:hAnsi="Times New Roman"/>
                <w:b/>
                <w:sz w:val="24"/>
              </w:rPr>
            </w:pPr>
            <w:r w:rsidRPr="0006442A">
              <w:rPr>
                <w:rFonts w:ascii="Times New Roman" w:hAnsi="Times New Roman"/>
                <w:b/>
                <w:sz w:val="24"/>
              </w:rPr>
              <w:t>Centrinio banko pozicijos. Apskaitinė balansinė vertė</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Įstaigos pagal taikytiną apskaitos sistemą nurodo šių įstaigos centrinio banko pozicijų vertę: i) monetų ir banknotų, kurie yra teisėta valiuta pagal centrinio banko jurisdikciją; ii) turto, kurį sudaro reikalavimai centriniam bankui, įskaitant centriniame banke saugomus rezervus.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Įstaigos įtraukia tik tas pozicijas, kurios atitinka abi šias sąlygas: a) jos yra išreikštos ta pačia valiuta kaip ir įstaigos prisiimti indėliai; b) jų vidutinis terminas pastebimai neviršija įstaigos prisiimtų indėlių vidutinio termino.</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Įstaigos nurodo šias pozicijas nepriklausomai nuo to, ar joms taikoma išimtis dėl į bendro pozicijų matą neįtraukiamų pozicijų pagal Reglamento (ES) Nr. 575/2013 429a straipsnio 5 ir 6 dalis.</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Centrinio banko pozicijų vertė, naudojama apskaičiuojant pakoreguoto sverto koeficiento reikalavimą, nurodytą KRR 429a straipsnio 7 dalyje. Sverto koeficiento pozicijos suma</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6442A">
              <w:rPr>
                <w:rFonts w:ascii="Times New Roman" w:hAnsi="Times New Roman"/>
                <w:sz w:val="24"/>
              </w:rPr>
              <w:t>Įstaigos pozicijų jos centrinio banko atžvilgiu, kurios gali būti neįtrauktos pagal Reglamento (ES) Nr. 575/2013 429a straipsnio 1 dalies n punktą, bendros vertės dienos vidurkis, apskaičiuotas per visą centrinio banko atsargų laikymo laikotarpį, einantį prieš pat Reglamento (ES) Nr. 575/2013 429a straipsnio 5 dalies c punkte nurodytą datą.</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Sverto koeficiento pozicijų matas, naudojamas apskaičiuojant pakoreguoto sverto koeficiento reikalavimą, nurodytą KRR 429a straipsnio 7 dalyje. Sverto koeficiento pozicijos suma</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Įstaigos bendras pozicijų matas, kaip apibrėžta Reglamento (ES) Nr. 575/2013 429 straipsnio 4 dalyje, įskaitant visas pozicijas, kurios neįtrauktos pagal Reglamento (ES) Nr. 575/2013 429 straipsnio 1 dalies n punktą, Reglamento (ES) Nr. 575/2013 429a straipsnio 5 dalies c punkte nurodytą datą.</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Bendra turto suma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Šiame straipsnyje įstaigos nurodo bendrą turto sumą pagal paskelbtose finansinėse ataskaitose naudotą taikymo sritį.</w:t>
            </w:r>
          </w:p>
        </w:tc>
      </w:tr>
    </w:tbl>
    <w:p w14:paraId="03B5554A" w14:textId="77777777" w:rsidR="00462408"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0EB3894" w14:textId="77777777" w:rsidR="0006442A" w:rsidRDefault="0006442A" w:rsidP="000B66BC">
      <w:pPr>
        <w:pStyle w:val="BodyText1"/>
        <w:spacing w:after="240"/>
        <w:rPr>
          <w:rFonts w:ascii="Times New Roman" w:hAnsi="Times New Roman"/>
          <w:b/>
          <w:sz w:val="24"/>
          <w:szCs w:val="24"/>
        </w:rPr>
      </w:pPr>
    </w:p>
    <w:p w14:paraId="277A8D1E" w14:textId="77777777" w:rsidR="0006442A" w:rsidRPr="000B66BC" w:rsidRDefault="0006442A" w:rsidP="000B66BC">
      <w:pPr>
        <w:pStyle w:val="BodyText1"/>
        <w:spacing w:after="240"/>
        <w:rPr>
          <w:rFonts w:ascii="Times New Roman" w:hAnsi="Times New Roman"/>
          <w:b/>
          <w:sz w:val="24"/>
          <w:szCs w:val="24"/>
        </w:rPr>
      </w:pPr>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888742"/>
      <w:bookmarkEnd w:id="57"/>
      <w:bookmarkEnd w:id="65"/>
      <w:bookmarkEnd w:id="66"/>
      <w:bookmarkEnd w:id="67"/>
      <w:r>
        <w:rPr>
          <w:rFonts w:ascii="Times New Roman" w:hAnsi="Times New Roman"/>
          <w:b/>
          <w:sz w:val="24"/>
        </w:rPr>
        <w:lastRenderedPageBreak/>
        <w:t>5.</w:t>
      </w:r>
      <w:r>
        <w:tab/>
      </w:r>
      <w:r>
        <w:rPr>
          <w:rFonts w:ascii="Times New Roman" w:hAnsi="Times New Roman"/>
          <w:b/>
          <w:sz w:val="24"/>
        </w:rPr>
        <w:t>C 43.00. Alternatyvus sverto koeficiento pozicijų mato sudedamųjų dalių suskirstymas</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 xml:space="preserve">Įstaigos nurodo sverto koeficiento pozicijų vertes LR4 formoje, atitinkamai pritaikiusios išimtis ir atskaitymus </w:t>
      </w:r>
      <w:proofErr w:type="spellStart"/>
      <w:r>
        <w:rPr>
          <w:rFonts w:ascii="Times New Roman" w:hAnsi="Times New Roman"/>
          <w:sz w:val="24"/>
        </w:rPr>
        <w:t>LRCalc</w:t>
      </w:r>
      <w:proofErr w:type="spellEnd"/>
      <w:r>
        <w:rPr>
          <w:rFonts w:ascii="Times New Roman" w:hAnsi="Times New Roman"/>
          <w:sz w:val="24"/>
        </w:rPr>
        <w:t xml:space="preserve"> formoje, t. y. straipsnius su neigiamu ženklu pagal šio priedo I dalies 9 punkte nurodytą ženklų tvarką, išskyrus {0270;0010} {0280;0010} eilutes.</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tab/>
      </w:r>
      <w:r>
        <w:rPr>
          <w:rFonts w:ascii="Times New Roman" w:hAnsi="Times New Roman"/>
          <w:sz w:val="24"/>
        </w:rPr>
        <w:t>Siekdamos išvengti dvigubo skaičiavimo, įstaigos išlaiko tokią lygybę:</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proofErr w:type="spellStart"/>
      <w:r>
        <w:rPr>
          <w:rFonts w:ascii="Times New Roman" w:hAnsi="Times New Roman"/>
          <w:sz w:val="24"/>
        </w:rPr>
        <w:t>LRCalc</w:t>
      </w:r>
      <w:proofErr w:type="spellEnd"/>
      <w:r>
        <w:rPr>
          <w:rFonts w:ascii="Times New Roman" w:hAnsi="Times New Roman"/>
          <w:sz w:val="24"/>
        </w:rPr>
        <w:t xml:space="preserve"> formoje visų eilučių nuo {0010; 0010} iki {0269;0010} suma yra lygi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Siekiant nuoseklumo su sverto koeficiento pozicijų vertėmis, pagal riziką įvertintų pozicijų sumos taip pat nurodomos taikant visiškai įdiegtą apibrėžtį. Šioje formoje į rezultatų apatinės ribos koregavimus nebus atsižvelgiama.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Įstaigos nurodo sandorio šalies pagal riziką įvertintų pozicijų sumą (RWEA) pritaikius kredito rizikos mažinimo (KRM) metodus atsižvelgus į jų pakeitimo poveikį. Įstaigos nurodo sandorio šalies sverto koeficiento pozicijų vertes, apskaičiuotas pagal pradinės pozicijos metodą, t. y. neatsižvelgiant į RWEA atžvilgiu taikytus KRM ar jų pakeitimo poveikį.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Eilutė ir skiltis</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Nuorodos į teisės aktus ir nurodymai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Nebalansiniai straipsniai. Sverto koeficiento pozicijos vertė</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Sverto koeficiento pozicijos vertė, apskaičiuota kaip {LRCalc;0150;0010}, {LRCalc;0160;0010}, {LRCalc;0165;0010} {LRCalc;0170;0010} ir {LRCalc;0180;0010} suma, išskyrus atitinkamas grupės vidaus pozicijas (individualiu pagrindu), kurioms taikoma išimtis pagal Reglamento (ES) Nr. 575/2013 429a straipsnio 1 dalies c ir </w:t>
            </w:r>
            <w:proofErr w:type="spellStart"/>
            <w:r>
              <w:rPr>
                <w:rFonts w:ascii="Times New Roman" w:hAnsi="Times New Roman"/>
                <w:sz w:val="24"/>
              </w:rPr>
              <w:t>ca</w:t>
            </w:r>
            <w:proofErr w:type="spellEnd"/>
            <w:r>
              <w:rPr>
                <w:rFonts w:ascii="Times New Roman" w:hAnsi="Times New Roman"/>
                <w:sz w:val="24"/>
              </w:rPr>
              <w:t xml:space="preserve"> punktus.</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Nebalansiniai straipsniai. RWEA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Nebalansinių straipsnių – išskyrus VPĮFS ir išvestines finansines priemones – pagal riziką įvertintų pozicijų suma taikant standartizuotą metodą ir IRB metodą. Teikdamos informaciją apie pozicijas, kurioms taikomas standartizuotas metodas, įstaigos pagal riziką įvertintų pozicijų sumą nustato pagal Reglamento (ES) Nr. 575/2013 trečios dalies II antraštinės dalies 2 skyrių. Teikdamos informaciją apie pozicijas, kurioms taikomas </w:t>
            </w:r>
            <w:r>
              <w:rPr>
                <w:rFonts w:ascii="Times New Roman" w:hAnsi="Times New Roman"/>
                <w:sz w:val="24"/>
              </w:rPr>
              <w:lastRenderedPageBreak/>
              <w:t>IRB metodas, įstaigos pagal riziką įvertintų pozicijų sumą nustato pagal Reglamento (ES) Nr. 575/2013 trečios dalies II antraštinės dalies 3 skyrių.</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prekybos finansavimas. Sverto koeficiento pozicijos vertė</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Su prekybos finansavimu susijusių nebalansinių straipsnių sverto koeficiento pozicijos vertė.</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LR4 formoje nurodomi su prekybos finansavimu susiję nebalansiniai straipsniai turi būti susiję su išduotais ir patvirtintais trumpalaikiais ir savaime pasibaigiančiais importo ir eksporto akredityvais ir panašiais sandoriais.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prekybos finansavimas.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Su prekybos finansavimu susijusių nebalansinių straipsnių – išskyrus VPĮFS ir išvestines finansines priemones – pagal riziką įvertintų pozicijų vertė.</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LR4 formoje nurodomi su prekybos finansavimu susiję nebalansiniai straipsniai turi būti susiję su išduotais ir patvirtintais trumpalaikiais ir savaime pasibaigiančiais importo ir eksporto akredityvais ir panašiais sandoriais.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Sverto koeficiento pozicijos vertė</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Su prekybos finansavimu pagal oficialiai remiamo eksporto kredito draudimo sistemą susijusių nebalansinių straipsnių sverto koeficiento pozicijos vertė.</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LR4 formoje nurodoma oficialiai remiamo eksporto kredito draudimo sistema turi būti susijusi su Vyriausybės arba kito subjekto, pvz., eksporto 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palūkanų normos parama (kai kredito galiojimo laikotarpiu užtikrinama fiksuotoji palūkanų norma), pagalbos finansavimu (kreditais ir dotacijomis), eksporto kredito draudimu ir garantijomis.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Su prekybos finansavimu pagal oficialiai remiamo eksporto kredito draudimo sistemą susijusių nebalansinių straipsnių – išskyrus VPĮFS ir išvestines finansines priemones – pagal riziką įvertintų pozicijų vertė.</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LR4 formoje nurodoma oficialiai remiamo eksporto kredito draudimo sistema turi būti susijusi su Vyriausybės arba kito subjekto, pvz., eksporto </w:t>
            </w:r>
            <w:r>
              <w:rPr>
                <w:rFonts w:ascii="Times New Roman" w:hAnsi="Times New Roman"/>
                <w:sz w:val="24"/>
              </w:rPr>
              <w:lastRenderedPageBreak/>
              <w:t xml:space="preserve">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palūkanų normos parama (kai kredito galiojimo laikotarpiu užtikrinama fiksuotoji palūkanų norma), pagalbos finansavimu (kreditais ir dotacijomis), eksporto kredito draudimu ir garantijomis.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ir VPĮFS, kuriems taikomas kryžminės produktų užskaitos susitarimas. Sverto koeficiento pozicijos vertė</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Išvestinių finansinių priemonių ir VPĮFS sverto koeficiento pozicijos vertė, jei taikomas Reglamento (ES) Nr. 575/2013 272 straipsnio 25 dalyje apibrėžtas kryžminės produktų užskaitos susitarimas.</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ir VPĮFS, kuriems taikomas kryžminės produktų užskaitos susitarimas. 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Taikant Reglamento (ES) Nr. 575/2013 trečios dalies II antraštinę dalį apskaičiuotos išvestinių finansinių priemonių ir VPĮFS, įskaitant tuos, kurie yra nebalansiniai straipsniai, kredito ir sandorio šalies kredito rizikos pagal riziką įvertintų pozicijų sumos, jei taikomas Reglamento (ES) Nr. 575/2013 272 straipsnio 25 dalyje apibrėžtas kryžminės produktų užskaitos susitarimas.</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kurioms netaikomas kryžminės produktų užskaitos susitarimas. Sverto koeficiento pozicijos vertė</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Išvestinių finansinių priemonių sverto koeficiento pozicijos vertė, jei netaikomas Reglamento (ES) Nr. 575/2013 272 straipsnio 25 dalyje apibrėžtas kryžminės produktų užskaitos susitarimas.</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Išvestinės finansinės priemonės, kurioms netaikomas kryžminės produktų užskaitos susitarimas. 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Taikant Reglamento (ES) Nr. 575/2013 trečios dalies II antraštinę dalį apskaičiuotos išvestinių finansinių priemonių, įskaitant tas, kurios yra nebalansiniai straipsniai, kredito ir sandorio šalies kredito rizikos pagal riziką įvertintų pozicijų sumos, jei netaikomas Reglamento (ES) Nr. 575/2013 272 straipsnio 25 dalyje apibrėžtas kryžminės produktų užskaitos susitarimas.</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VPĮFS, kuriems netaikomas kryžminės produktų užskaitos susitarimas. Sverto koeficiento pozicijos vertė</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VPĮFS pozicijų sverto koeficiento pozicijos vertė, jei netaikomas Reglamento (ES) Nr. 575/2013 272 straipsnio 25 dalyje apibrėžtas kryžminės produktų užskaitos susitarimas.</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VPĮFS, kuriems netaikomas kryžminės produktų užskaitos susitarimas. 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lastRenderedPageBreak/>
              <w:t>Taikant Reglamento (ES) Nr. 575/2013 trečios dalies II antraštinę dalį apskaičiuotos VPĮFS, įskaitant tuos, kurie yra nebalansiniai straipsniai, kredito ir sandorio šalies kredito rizikos pagal riziką įvertintų pozicijų sumos, jei netaikomas Reglamento (ES) Nr. 575/2013 272 straipsnio 25 dalyje apibrėžtas kryžminės produktų užskaitos susitarimas.</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Pozicijų sumos, atsirandančios dėl papildomo kredito išvestinių finansinių priemonių vertinimo. Sverto koeficiento pozicijos vertė</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Šiame laukelyje nurodomas {LRCalc;0130;0010} ir {LRCalc;0140;0010} skirtumas, išskyrus atitinkamas grupės vidaus pozicijas (individualiu pagrindu), kurioms taikoma išimtis pagal Reglamento (ES) Nr. 575/2013 429a straipsnio 1 dalies c punktą.</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Kitas į prekybos knygą įtrauktas turtas. Sverto koeficiento pozicijos vertė</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{LRCalc;0190;0010} laukelyje nurodytų straipsnių sverto koeficiento pozicijos vertė, išskyrus ne prekybos knygos straipsnius.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Kitas į prekybos knygą įtrauktas turtas. 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Straipsnių, kuriems taikoma Reglamento (ES) Nr. 575/2013 trečios dalies IV antraštinė dalis, nuosavų lėšų reikalavimas, padaugintas iš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Padengtosios obligacijos. Sverto koeficiento pozicijos vertė. SA pozicijos</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129 straipsnyje nurodytos padengtųjų obligacijų SA pozicijos, sverto koeficiento pozicijos vertė.</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Padengtosios obligacijos. Sverto koeficiento pozicijos vertė. IRB pozicijos</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161 straipsnio 1 dalies d punkte nurodytos padengtųjų obligacijų IRB pozicijos, sverto koeficiento pozicijos vertė.</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Padengtosios obligacijos. RWEA. SA pozicijos</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129 straipsnyje apibrėžtos padengtųjų obligacijų SA pozicijos, pagal riziką įvertintų pozicijų suma.</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Padengtosios obligacijos. RWEA. IRB pozicijos</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Reglamento (ES) Nr. 575/2013 161 straipsnio 1 dalies d punkte apibrėžtos padengtųjų obligacijų IRB pozicijos, pagal riziką įvertintų pozicijų suma.</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vertinamos kaip centrinės valdžios pozicijos. Sverto koeficiento pozicijos vertė. SA pozicijos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{0100,0010}–{0130,0010} laukelių suma.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Įstaigos nurodo duomenis atskaičiusios neįvykdytas SA pozicijas.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vertinamos kaip centrinės valdžios pozicijos. Sverto koeficiento pozicijos vertė. IRB pozicijos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{0100,0020}–{0130,0020} laukelių suma.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vertinamos kaip centrinės valdžios pozicijos. RWEA. SA pozicijos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{0100,0030}–{0130,0030} laukelių suma.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vertinamos kaip centrinės valdžios pozicijos. RWEA. IRB pozicijos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{0100,0040}–{0130,0040} laukelių suma.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6442A" w:rsidRDefault="00F4754B" w:rsidP="000B66BC">
            <w:pPr>
              <w:pStyle w:val="BodyText1"/>
              <w:spacing w:after="240" w:line="240" w:lineRule="auto"/>
              <w:rPr>
                <w:rFonts w:ascii="Times New Roman" w:hAnsi="Times New Roman"/>
                <w:b/>
                <w:sz w:val="24"/>
              </w:rPr>
            </w:pPr>
            <w:r w:rsidRPr="0006442A">
              <w:rPr>
                <w:rFonts w:ascii="Times New Roman" w:hAnsi="Times New Roman"/>
                <w:b/>
                <w:sz w:val="24"/>
              </w:rPr>
              <w:t>Centrinės valdžios institucijos ir centriniai bankai. Sverto koeficiento pozicijos vertė. SA pozicijos</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114 straipsnyje nurodytų centrinės valdžios institucijų arba centrinių bankų SA pozicijos, sverto koeficiento pozicijos vertė.</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6442A" w:rsidRDefault="00F4754B" w:rsidP="000B66BC">
            <w:pPr>
              <w:pStyle w:val="BodyText1"/>
              <w:spacing w:after="240" w:line="240" w:lineRule="auto"/>
              <w:rPr>
                <w:rFonts w:ascii="Times New Roman" w:hAnsi="Times New Roman"/>
                <w:b/>
                <w:sz w:val="24"/>
              </w:rPr>
            </w:pPr>
            <w:r w:rsidRPr="0006442A">
              <w:rPr>
                <w:rFonts w:ascii="Times New Roman" w:hAnsi="Times New Roman"/>
                <w:b/>
                <w:sz w:val="24"/>
              </w:rPr>
              <w:t>Centrinės valdžios institucijos ir centriniai bankai. Sverto koeficiento pozicijos vertė. IRB pozicijos</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147 straipsnio 2 dalies a punkte nurodytų centrinės valdžios institucijų arba centrinių bankų IRB pozicijos, sverto koeficiento pozicijos vertė.</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Įstaigos nurodo duomenis atskaičiusios neįvykdytas IRB pozicijas.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{0100;0030}</w:t>
            </w:r>
          </w:p>
        </w:tc>
        <w:tc>
          <w:tcPr>
            <w:tcW w:w="7406" w:type="dxa"/>
            <w:shd w:val="clear" w:color="auto" w:fill="FFFFFF"/>
          </w:tcPr>
          <w:p w14:paraId="26718359" w14:textId="1E245CA7" w:rsidR="002509B1" w:rsidRPr="0006442A" w:rsidRDefault="00F4754B" w:rsidP="000B66BC">
            <w:pPr>
              <w:pStyle w:val="BodyText1"/>
              <w:spacing w:after="240" w:line="240" w:lineRule="auto"/>
              <w:rPr>
                <w:rFonts w:ascii="Times New Roman" w:hAnsi="Times New Roman"/>
                <w:b/>
                <w:sz w:val="24"/>
              </w:rPr>
            </w:pPr>
            <w:r w:rsidRPr="0006442A">
              <w:rPr>
                <w:rFonts w:ascii="Times New Roman" w:hAnsi="Times New Roman"/>
                <w:b/>
                <w:sz w:val="24"/>
              </w:rPr>
              <w:t>Centrinės valdžios institucijos ir centriniai bankai. RWEA. SA pozicijos</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114 straipsnyje nurodytų centrinės valdžios institucijų arba centrinių bankų SA pozicijos, pagal riziką įvertintų pozicijų suma.</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6442A" w:rsidRDefault="00F4754B" w:rsidP="000B66BC">
            <w:pPr>
              <w:pStyle w:val="BodyText1"/>
              <w:spacing w:after="240" w:line="240" w:lineRule="auto"/>
              <w:rPr>
                <w:rFonts w:ascii="Times New Roman" w:hAnsi="Times New Roman"/>
                <w:b/>
                <w:sz w:val="24"/>
              </w:rPr>
            </w:pPr>
            <w:r w:rsidRPr="0006442A">
              <w:rPr>
                <w:rFonts w:ascii="Times New Roman" w:hAnsi="Times New Roman"/>
                <w:b/>
                <w:sz w:val="24"/>
              </w:rPr>
              <w:t>Centrinės valdžios institucijos ir centriniai bankai. RWEA. IRB pozicijos</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Reglamento (ES) Nr. 575/2013 147 straipsnio 2 dalies a punkte nurodytų centrinės valdžios institucijų arba centrinių bankų IRB pozicijos, pagal riziką įvertintų pozicijų suma.</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vertinamos kaip centrinė valdžia. Sverto koeficiento pozicijos vertė. SA pozicijos</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115 straipsnio 2 ir 4 dalių taikymo sritį patenkančios kaip centrinė valdžia vertinamų regioninių ir vietos valdžios institucijų SA pozicijos, sverto koeficiento pozicijos vertė.</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Įstaigos nurodo duomenis atskaičiusios neįvykdytas SA pozicijas.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vertinamos kaip centrinė valdžia. Sverto koeficiento pozicijos vertė. IRB pozicijos</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 Reglamento (ES) Nr. 575/2013 147 straipsnio 3 dalies a punkto taikymo sritį patenkančios regioninių ir vietos valdžios institucijų IRB pozicijos, sverto koeficiento pozicijos vertė.</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vertinamos kaip centrinė valdžia. RWEA. SA pozicijos</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115 straipsnio 2 ir 4 dalių taikymo sritį patenkančios kaip centrinė valdžia vertinamų regioninių ir vietos valdžios institucijų SA pozicijos, pagal riziką įvertintų pozicijų suma.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vertinamos kaip centrinė valdžia. RWEA. IRB pozicijos</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į Reglamento (ES) Nr. 575/2013 147 straipsnio 3 dalies a punkto taikymo sritį patenkančios regioninių ir vietos valdžios institucijų IRB pozicijos, pagal riziką įvertintų pozicijų suma.</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Daugiašaliai plėtros bankai ir tarptautinės organizacijos, vertinami kaip centrinė valdžia. Sverto koeficiento pozicijos vertė. SA pozicijos</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117 straipsnio 2 dalies ir 118 straipsnio taikymo sritį patenkančios daugiašalių plėtros bankų ir tarptautinių organizacijų SA pozicijos, sverto koeficiento pozicijos vertė.</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Daugiašaliai plėtros bankai ir tarptautinės organizacijos, vertinami kaip centrinė valdžia. Sverto koeficiento pozicijos vertė. IRB pozicijos</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3 dalies b ir c punktų taikymo sritį patenkančios daugiašalių plėtros bankų ir tarptautinių organizacijų IRB pozicijos, sverto koeficiento pozicijos vertė.</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Daugiašaliai plėtros bankai ir tarptautinės organizacijos, vertinami kaip centrinė valdžia. RWEA. SA pozicijos</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117 straipsnio 2 dalies ir 118 straipsnio taikymo sritį patenkančios daugiašalių plėtros bankų ir tarptautinių organizacijų SA pozicijos, pagal riziką įvertintų pozicijų suma.</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Daugiašaliai plėtros bankai ir tarptautinės organizacijos, vertinami kaip centrinė valdžia. RWEA. IRB pozicijos</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3 dalies b ir c punktų taikymo sritį patenkančios daugiašalių plėtros bankų ir tarptautinių organizacijų IRB pozicijos, pagal riziką įvertintų pozicijų suma.</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Įstaigos nurodo duomenis atskaičiusios neįvykdytas IRB pozicijas.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Viešojo sektoriaus subjektai, vertinami kaip centrinė valdžia. Sverto koeficiento pozicijos vertė. SA pozicijos</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116 straipsnio 4 dalies taikymo sritį patenkančios viešojo sektoriaus subjektų SA pozicijos, sverto koeficiento pozicijos vertė.</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Įstaigos nurodo duomenis atskaičiusios neįvykdytas SA pozicijas.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Viešojo sektoriaus subjektai, vertinami kaip centrinė valdžia. Sverto koeficiento pozicijos vertė. IRB pozicijos</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3 dalies a punkto taikymo sritį patenkančios viešojo sektoriaus subjektų IRB pozicijos, sverto koeficiento pozicijos suma.</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Viešojo sektoriaus subjektai, vertinami kaip centrinė valdžia. RWEA. SA pozicijos</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116 straipsnio 4 dalies taikymo sritį patenkančios viešojo sektoriaus subjektų SA pozicijos, pagal riziką įvertintų pozicijų suma.</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Viešojo sektoriaus subjektai, vertinami kaip centrinė valdžia. RWEA. IRB pozicijos</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3 dalies a punkto taikymo sritį patenkančios viešojo sektoriaus subjektų IRB pozicijos, pagal riziką įvertintų pozicijų suma.</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valdžios institucijų, daugiašalių plėtros bankų, tarptautinių organizacijų ir viešojo sektoriaus subjektų, nevertinamų kaip centrinė valdžia, pozicijos. Sverto koeficiento pozicijos vertė. SA pozicijos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{0150,0010}–{0170,0010} laukelių suma.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valdžios institucijų, daugiašalių plėtros bankų, tarptautinių organizacijų ir viešojo sektoriaus subjektų, nevertinamų kaip centrinė valdžia, pozicijos. Sverto koeficiento pozicijos vertė. IRB pozicijos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{0150,0020}–{0170,0020} laukelių suma.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valdžios institucijų, daugiašalių plėtros bankų, tarptautinių organizacijų ir viešojo sektoriaus subjektų, nevertinamų kaip centrinė valdžia, pozicijos. RWEA. SA pozicijos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{0150,0030}–{0170,0030} laukelių suma.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Įstaigos nurodo duomenis atskaičiusios neįvykdytas SA pozicijas.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valdžios institucijų, daugiašalių plėtros bankų, tarptautinių organizacijų ir viešojo sektoriaus subjektų, nevertinamų kaip centrinė valdžia, pozicijos. RWEA. IRB pozicijos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{0150,0040}–{0170,0040} laukelių suma.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nevertinamos kaip centrinė valdžia. Sverto koeficiento pozicijos vertė. SA pozicijos</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115 straipsnio 1, 3 ir 5 dalių taikymo sritį patenkančios ne kaip centrinė valdžia vertinamų regioninių ir vietos valdžios institucijų SA pozicijos, sverto koeficiento pozicijos vertė.</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nevertinamos kaip centrinė valdžia. Sverto koeficiento pozicijos vertė. IRB pozicijos</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4 dalies a punkto taikymo sritį patenkančios ne kaip centrinė valdžia vertinamų regioninių ir vietos valdžios institucijų IRB pozicijos, sverto koeficiento pozicijos vertė.</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Įstaigos nurodo duomenis atskaičiusios neįvykdytas IRB pozicijas.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Regioninės ir vietos valdžios institucijos, nevertinamos kaip centrinė valdžia. RWEA. SA pozicijos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115 straipsnio 1, 3 ir 5 dalių taikymo sritį patenkančios ne kaip centrinė valdžia vertinamų regioninių ir vietos valdžios institucijų SA pozicijos, pagal riziką įvertintų pozicijų suma.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Regioninės ir vietos valdžios institucijos, nevertinamos kaip centrinė valdžia. RWEA. IRB pozicijos</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4 dalies a punkto taikymo sritį patenkančios ne kaip centrinė valdžia vertinamų regioninių ir vietos valdžios institucijų IRB pozicijos, pagal riziką įvertintų pozicijų suma.</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Daugiašaliai plėtros bankai, </w:t>
            </w:r>
            <w:r>
              <w:rPr>
                <w:rFonts w:ascii="Times New Roman" w:hAnsi="Times New Roman"/>
                <w:b/>
                <w:sz w:val="24"/>
                <w:u w:val="single"/>
              </w:rPr>
              <w:t>nevertinami</w:t>
            </w:r>
            <w:r>
              <w:rPr>
                <w:rFonts w:ascii="Times New Roman" w:hAnsi="Times New Roman"/>
                <w:b/>
                <w:sz w:val="24"/>
              </w:rPr>
              <w:t xml:space="preserve"> kaip centrinė valdžia. Sverto koeficiento pozicijos vertė. SA pozicijos</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117 straipsnio 1 ir 3 dalių taikymo sritį patenkančios daugiašalių plėtros bankų SA pozicijos, sverto koeficiento pozicijos vertė.</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Daugiašaliai plėtros bankai, </w:t>
            </w:r>
            <w:r>
              <w:rPr>
                <w:rFonts w:ascii="Times New Roman" w:hAnsi="Times New Roman"/>
                <w:b/>
                <w:sz w:val="24"/>
                <w:u w:val="single"/>
              </w:rPr>
              <w:t>nevertinami</w:t>
            </w:r>
            <w:r>
              <w:rPr>
                <w:rFonts w:ascii="Times New Roman" w:hAnsi="Times New Roman"/>
                <w:b/>
                <w:sz w:val="24"/>
              </w:rPr>
              <w:t xml:space="preserve"> kaip centrinė valdžia. Sverto koeficiento pozicijos vertė. IRB pozicijos</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4 dalies c punkto taikymo sritį patenkančios ne kaip centrinė valdžia vertinamų daugiašalių plėtros bankų IRB pozicijos, sverto koeficiento pozicijos vertė.</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Daugiašaliai plėtros bankai, nevertinami kaip centrinė valdžia. RWEA. SA pozicijos</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 Reglamento (ES) Nr. 575/2013 117 straipsnio 1 ir 3 dalių taikymo sritį patenkančios daugiašalių plėtros bankų SA pozicijos, pagal riziką įvertintų pozicijų suma.</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Daugiašaliai plėtros bankai, nevertinami kaip centrinė valdžia. RWEA. IRB pozicijos</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4 dalies c punkto taikymo sritį patenkančios ne kaip centrinė valdžia vertinamų daugiašalių plėtros bankų IRB pozicijos, pagal riziką įvertintų pozicijų suma.</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Viešojo sektoriaus subjektai, nevertinami kaip centrinė valdžia. Sverto koeficiento pozicijos vertė. SA pozicijos</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116 straipsnio 1, 2, 3 ir 5 dalių taikymo sritį patenkančios viešojo sektoriaus subjektų SA pozicijos, sverto koeficiento pozicijos vertė.</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Įstaigos nurodo duomenis atskaičiusios neįvykdytas SA pozicijas.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Viešojo sektoriaus subjektai, nevertinami kaip centrinė valdžia. Sverto koeficiento pozicijos vertė. IRB pozicijos</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Turto, kuris yra į Reglamento (ES) Nr. 575/2013 147 straipsnio 4 dalies b punkto taikymo sritį patenkančios ne kaip centrinė valdžia vertinamų </w:t>
            </w:r>
            <w:r>
              <w:rPr>
                <w:rFonts w:ascii="Times New Roman" w:hAnsi="Times New Roman"/>
                <w:sz w:val="24"/>
              </w:rPr>
              <w:lastRenderedPageBreak/>
              <w:t>viešojo sektoriaus subjektų IRB pozicijos, sverto koeficiento pozicijos vertė.</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Viešojo sektoriaus subjektai, nevertinami kaip centrinė valdžia. RWEA. SA pozicijos</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116 straipsnio 1, 2, 3 ir 5 dalių taikymo sritį patenkančios viešojo sektoriaus subjektų SA pozicijos, pagal riziką įvertintų pozicijų suma.</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Viešojo sektoriaus subjektai, nevertinami kaip centrinė valdžia. RWEA. IRB pozicijos</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4 dalies b punkto taikymo sritį patenkančios ne kaip centrinė valdžia vertinamų viešojo sektoriaus subjektų IRB pozicijos, pagal riziką įvertintų pozicijų suma.</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5FA2ADAC"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Įstaig</w:t>
            </w:r>
            <w:r w:rsidR="000F165A">
              <w:rPr>
                <w:rFonts w:ascii="Times New Roman" w:hAnsi="Times New Roman"/>
                <w:b/>
                <w:sz w:val="24"/>
              </w:rPr>
              <w:t>ų pozicijos</w:t>
            </w:r>
            <w:r>
              <w:rPr>
                <w:rFonts w:ascii="Times New Roman" w:hAnsi="Times New Roman"/>
                <w:b/>
                <w:sz w:val="24"/>
              </w:rPr>
              <w:t>. Sverto koeficiento pozicijos vertė. SA pozicijos</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119–121 straipsnių taikymo sritį patenkančios įstaigų SA pozicijos, sverto koeficiento pozicijos vertė.</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33F93DFD" w:rsidR="00F4754B" w:rsidRPr="000B66BC" w:rsidRDefault="00F4754B" w:rsidP="000B66BC">
            <w:pPr>
              <w:pStyle w:val="BodyText1"/>
              <w:spacing w:after="240" w:line="240" w:lineRule="auto"/>
              <w:rPr>
                <w:rFonts w:ascii="Times New Roman" w:hAnsi="Times New Roman"/>
                <w:bCs/>
                <w:sz w:val="24"/>
                <w:szCs w:val="24"/>
              </w:rPr>
            </w:pPr>
            <w:r w:rsidRPr="000F165A">
              <w:rPr>
                <w:rFonts w:ascii="Times New Roman" w:hAnsi="Times New Roman"/>
                <w:b/>
                <w:sz w:val="24"/>
              </w:rPr>
              <w:t>Įstaig</w:t>
            </w:r>
            <w:r w:rsidR="000F165A">
              <w:rPr>
                <w:rFonts w:ascii="Times New Roman" w:hAnsi="Times New Roman"/>
                <w:b/>
                <w:sz w:val="24"/>
              </w:rPr>
              <w:t>ų pozicijos</w:t>
            </w:r>
            <w:r w:rsidRPr="000F165A">
              <w:rPr>
                <w:rFonts w:ascii="Times New Roman" w:hAnsi="Times New Roman"/>
                <w:b/>
                <w:sz w:val="24"/>
              </w:rPr>
              <w:t>. Sverto koeficiento pozicijos vertė. IRB pozicijos</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 Reglamento (ES) Nr. 575/2013 147 straipsnio 2 dalies b punkto taikymo sritį patenkančios įstaigų IRB pozicijos, bet kuris nėra padengtųjų obligacijų pozicijos pagal Reglamento (ES) Nr. 575/2013 161 straipsnio 1 dalies d punktą ir nepatenka į Reglamento (ES) Nr. 575/2013 147 straipsnio 4 dalies c punkto taikymo sritį, sverto koeficiento pozicijos vertė.</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061523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Įstaig</w:t>
            </w:r>
            <w:r w:rsidR="000F165A">
              <w:rPr>
                <w:rFonts w:ascii="Times New Roman" w:hAnsi="Times New Roman"/>
                <w:b/>
                <w:sz w:val="24"/>
              </w:rPr>
              <w:t>ų pozicijos</w:t>
            </w:r>
            <w:r>
              <w:rPr>
                <w:rFonts w:ascii="Times New Roman" w:hAnsi="Times New Roman"/>
                <w:b/>
                <w:sz w:val="24"/>
              </w:rPr>
              <w:t>. RWEA. SA pozicijos</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119–121 straipsnių taikymo sritį patenkančios įstaigų SA pozicijos, pagal riziką įvertintų pozicijų suma.</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{0180;0040}</w:t>
            </w:r>
          </w:p>
        </w:tc>
        <w:tc>
          <w:tcPr>
            <w:tcW w:w="7406" w:type="dxa"/>
            <w:shd w:val="clear" w:color="auto" w:fill="FFFFFF"/>
          </w:tcPr>
          <w:p w14:paraId="73DCBC6C" w14:textId="7855E55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Įstaig</w:t>
            </w:r>
            <w:r w:rsidR="000F165A">
              <w:rPr>
                <w:rFonts w:ascii="Times New Roman" w:hAnsi="Times New Roman"/>
                <w:b/>
                <w:sz w:val="24"/>
              </w:rPr>
              <w:t>ų pozicijos</w:t>
            </w:r>
            <w:r>
              <w:rPr>
                <w:rFonts w:ascii="Times New Roman" w:hAnsi="Times New Roman"/>
                <w:b/>
                <w:sz w:val="24"/>
              </w:rPr>
              <w:t>. RWEA. IRB pozicijos</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2 dalies b punkto taikymo sritį patenkančios įstaigų IRB pozicijos, bet kuris nėra padengtųjų obligacijų pozicijos pagal Reglamento (ES) Nr. 575/2013 161 straipsnio 1 dalies d punktą ir nepatenka į Reglamento (ES) Nr. 575/2013 147 straipsnio 4 dalies c punkto taikymo sritį, pagal riziką įvertintų pozicijų suma.</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Nekilnojamojo turto hipoteka užtikrintos pozicijos ir ADC pozicijos. Sverto koeficiento pozicijos vertė. SA pozicijos</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124 ir 126a straipsnių taikymo sritį patenkančios nekilnojamojo turto hipoteka užtikrintos pozicijos ir ADC pozicijos, sverto koeficiento pozicijos vertė.</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Nekilnojamojo turto hipoteka užtikrintos pozicijos ir ADC pozicijos. Sverto koeficiento pozicijos vertė. IRB pozicijos</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įmonių IRB pozicijos pagal Reglamento (ES) Nr. 575/2013 147 straipsnio 2 dalies c punktą arba mažmeninės pozicijos pagal to reglamento 147 straipsnio 2 dalies d punkto ii papunktį, jei šios pozicijos yra užtikrintos nekilnojamojo turto hipoteka ir ADC pozicijos pagal to reglamento 199 straipsnio 1 dalies a punktą, sverto koeficiento pozicijos vertė.</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Nekilnojamojo turto hipoteka užtikrintos pozicijos ir ADC pozicijos. RWEA. SA pozicijos</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 Reglamento (ES) Nr. 575/2013 124 ir 126a straipsnių taikymo sritį patenkančios nekilnojamojo turto hipoteka užtikrintos pozicijos ir ADC pozicijos, pagal riziką įvertintų pozicijų suma.</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Nekilnojamojo turto hipoteka užtikrintos pozicijos ir ADC pozicijos. RWEA. IRB pozicijos</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įmonių IRB pozicijos pagal Reglamento (ES) Nr. 575/2013 147 straipsnio 2 dalies c punktą arba mažmeninės pozicijos pagal to reglamento 147 straipsnio 2 dalies d punkto ii papunktį, jei šios pozicijos užtikrintos nekilnojamojo turto hipoteka pagal to reglamento 199 straipsnio 1 dalies a punktą, pagal riziką įvertintų pozicijų suma. Įstaigos nurodo duomenis atskaičiusios neįvykdytas IRB pozicijas.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užtikrintos gyvenamosios paskirties nekilnojamojo turto hipoteka. Sverto koeficiento pozicijos vertė. SA pozicijos</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125 straipsnio taikymo sritį patenkančios gyvenamosios paskirties nekilnojamojo turto hipoteka visapusiškai ir visiškai užtikrintos SA pozicijos, sverto koeficiento pozicijos vertė.</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dalis, kurią atitinka: užtikrintos gyvenamosios paskirties nekilnojamojo turto hipoteka. Sverto koeficiento pozicijos vertė. IRB pozicijos</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įmonių IRB pozicijos pagal Reglamento (ES) Nr. 575/2013 147 straipsnio 2 dalies c punktą arba mažmeninės pozicijos pagal to reglamento 147 straipsnio 2 dalies d punkto ii papunktį, jei šios pozicijos užtikrintos gyvenamosios paskirties nekilnojamojo turto hipoteka pagal to reglamento 199 straipsnio 1 dalies a punktą, sverto koeficiento pozicijos vertė.</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užtikrintos gyvenamosios paskirties nekilnojamojo turto hipoteka. RWEA. SA pozicijos</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125 straipsnio taikymo sritį patenkančios gyvenamosios paskirties nekilnojamojo turto hipoteka visapusiškai ir visiškai užtikrintos SA pozicijos, pagal riziką įvertintų pozicijų suma.</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užtikrintos gyvenamosios paskirties nekilnojamojo turto hipoteka. RWEA. IRB pozicijos</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įmonių IRB pozicijos pagal Reglamento (ES) Nr. 575/2013 147 straipsnio 2 dalies c punktą arba mažmeninės pozicijos pagal to reglamento 147 straipsnio 2 dalies d punkto ii papunktį, jei šios pozicijos užtikrintos gyvenamosios paskirties nekilnojamojo turto hipoteka pagal to reglamento 199 straipsnio 1 dalies a punktą, pagal riziką įvertintų pozicijų suma.</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Mažmeninės pozicijos. Sverto koeficiento pozicijos vertė. SA pozicijos</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į Reglamento (ES) Nr. 575/2013 123 straipsnio taikymo sritį patenkančios mažmeninės SA pozicijos, sverto koeficiento pozicijos vertė.</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Mažmeninės pozicijos. Sverto koeficiento pozicijos vertė. IRB pozicijos</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mažmeninės IRB pozicijos pagal Reglamento (ES) Nr. 575/2013 147 straipsnio 2 dalies d punkto i, iii ir iv papunkčius, jei šios pozicijos nėra užtikrintos nekilnojamojo turto hipoteka pagal Reglamento (ES) Nr. 575/2013 199 straipsnio 1 dalies a punktą, sverto koeficiento pozicijos vertė.</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Mažmeninės pozicijos. RWEA. SA pozicijos</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123 straipsnio taikymo sritį patenkančios mažmeninės SA pozicijos, pagal riziką įvertintų pozicijų suma.</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Mažmeninės pozicijos. RWEA. IRB pozicijos</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mažmeninės IRB pozicijos pagal Reglamento (ES) Nr. 575/2013 147 straipsnio 2 dalies d punkto i, iii ir iv papunkčius, jei šios pozicijos nėra užtikrintos nekilnojamojo turto hipoteka pagal Reglamento (ES) Nr. 575/2013 199 straipsnio 1 dalies a punktą, pagal riziką įvertintų pozicijų suma.</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dalis, kurią atitinka: Mažmeninės pozicijos (MVĮ). Sverto koeficiento pozicijos vertė. SA pozicijos</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123 straipsnio taikymo sritį patenkančios mažųjų ir vidutinių įmonių mažmeninės SA pozicijos, sverto koeficiento pozicijos vertė.</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Įstaigos nurodo duomenis atskaičiusios neįvykdytas SA pozicijas.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Mažmeninės pozicijos (MVĮ). Sverto koeficiento pozicijos vertė. IRB pozicijos</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mažmeninės IRB pozicijos pagal Reglamento (ES) Nr. 575/2013 147 straipsnio 2 dalies d punkto i, iii ir iv papunkčius, jei šios pozicijos yra mažųjų ir vidutinių įmonių pozicijos ir nėra užtikrintos nekilnojamojo turto hipoteka pagal Reglamento (ES) Nr. 575/2013 199 straipsnio 1 dalies a punktą, sverto koeficiento pozicijos vertė.</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Mažmeninės pozicijos (MVĮ). RWEA. SA pozicijos</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123 straipsnio taikymo sritį patenkančios mažųjų ir vidutinių įmonių mažmeninės SA pozicijos, pagal riziką įvertintų pozicijų suma.</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Mažmeninės pozicijos (MVĮ). RWEA. IRB pozicijos</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mažmeninės IRB pozicijos pagal Reglamento (ES) Nr. 575/2013 147 straipsnio 2 dalies d punkto i, iii ir iv papunkčius, jei šios pozicijos yra mažųjų ir vidutinių įmonių pozicijos ir nėra užtikrintos nekilnojamojo turto hipoteka pagal Reglamento (ES) Nr. 575/2013 199 straipsnio 1 dalies a punktą, pagal riziką įvertintų pozicijų suma.</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Įmonių pozicijos. Sverto koeficiento pozicijos vertė. SA pozicijos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Nurodoma {0240,0010} ir {0250,0010} laukelių suma.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Įmonių pozicijos. Sverto koeficiento pozicijos vertė. IRB pozicijos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{0240,0020} ir {0250,0020} laukelių suma.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Įstaigos nurodo duomenis atskaičiusios neįvykdytas IRB pozicijas.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Įmonių pozicijos. RWEA. SA pozicijos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{0240,0030} ir {0250,0030} laukelių suma.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Įmonių pozicijos. RWEA. IRB pozicijos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{0240,0040} ir {0250,0040} laukelių suma.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Finansų įmonių pozicijos. Sverto koeficiento pozicijos vertė. SA pozicijos</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finansų įmonių SA pozicijos, sverto koeficiento pozicijos vertė.</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Reglamento (ES) Nr. 575/2013 4 straipsnio 1 dalies 27 punkte išvardytos įmonės, išskyrus {0180;0010} laukelyje nurodytas įstaigas.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Finansų įmonių pozicijos. Sverto koeficiento pozicijos vertė. IRB pozicijos</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finansų įmonių IRB pozicijos pagal Reglamento (ES) Nr. 575/2013 147 straipsnio 2 dalies c punktą, jei šios pozicijos nėra užtikrintos nekilnojamojo turto hipoteka pagal Reglamento (ES) Nr. 575/2013 199 straipsnio 1 dalies a punktą, sverto koeficiento pozicijos vertė.</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Reglamento (ES) Nr. 575/2013 4 straipsnio 1 dalies 27 punkte išvardytos įmonės, išskyrus {0180;0010} laukelyje nurodytas įstaigas.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Finansų įmonių pozicijos. RWEA. SA pozicijos</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į Reglamento (ES) Nr. 575/2013 122 straipsnio taikymo sritį patenkančios finansų įmonių SA pozicijos, pagal riziką įvertintų pozicijų suma.</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Reglamento (ES) Nr. 575/2013 4 straipsnio 1 dalies 27 punkte išvardytos įmonės, išskyrus {0180;0010} laukelyje nurodytas įstaigas.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Finansų įmonių pozicijos. RWEA. IRB pozicijos</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finansų įmonių IRB pozicijos pagal Reglamento (ES) Nr. 575/2013 147 straipsnio 2 dalies c punktą, jei šios pozicijos nėra užtikrintos nekilnojamojo turto hipoteka pagal Reglamento (ES) Nr. 575/2013 199 straipsnio 1 dalies a punktą, pagal riziką įvertintų pozicijų suma.</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Reglamento (ES) Nr. 575/2013 4 straipsnio 1 dalies 27 punkte išvardytos įmonės, išskyrus {0180;0010} laukelyje nurodytas įstaigas.</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 finansų įmonių pozicijos. Sverto koeficiento pozicijos vertė. SA pozicijos</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ne finansų įmonių SA pozicijos, sverto koeficiento pozicijos vertė.</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{0260,0010} ir {0270,0010} laukelių suma.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 finansų įmonių pozicijos. Sverto koeficiento pozicijos vertė. IRB pozicijos</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ne finansų įmonių IRB pozicijos pagal Reglamento (ES) Nr. 575/2013 147 straipsnio 2 dalies c punktą, jei šios pozicijos nėra užtikrintos nekilnojamojo turto hipoteka pagal Reglamento (ES) Nr. 575/2013 199 straipsnio 1 dalies a punktą, sverto koeficiento pozicijos vertė.</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Nurodoma {0260,0020} ir {0270,0020} laukelių suma.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 finansų įmonių pozicijos. RWEA. SA pozicijos</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ne finansų įmonių SA pozicijos, pagal riziką įvertintų pozicijų suma.</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{0260,0030} ir {0270,0030} laukelių suma.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 finansų įmonių pozicijos. RWEA. IRB pozicijos</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ne finansų įmonių IRB pozicijos pagal Reglamento (ES) Nr. 575/2013 147 straipsnio 2 dalies c punktą, jei šios pozicijos nėra užtikrintos nekilnojamojo turto hipoteka pagal Reglamento (ES) Nr. 575/2013 199 straipsnio 1 dalies a punktą, pagal riziką įvertintų pozicijų suma.</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Nurodoma {0260,0040} ir {0270,0040} laukelių suma.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MVĮ pozicijos. Sverto koeficiento pozicijos vertė. SA pozicijos</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mažosioms ir vidutinėms įmonėms priskiriamų įmonių SA pozicijos, sverto koeficiento pozicijos vertė.</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MVĮ pozicijos. Sverto koeficiento pozicijos vertė. IRB pozicijos</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įmonių IRB pozicijos pagal Reglamento (ES) Nr. 575/2013 147 straipsnio 2 dalies c punktą, jei šios pozicijos yra mažųjų ir vidutinių įmonių pozicijos ir nėra užtikrintos nekilnojamojo turto hipoteka pagal Reglamento (ES) Nr. 575/2013 199 straipsnio 1 dalies a punktą, sverto koeficiento pozicijos vertė.</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Šiame laukelyje įstaigos taiko Reglamento (ES) Nr. 575/2013 501 straipsnio 2 dalies b punkte nurodytą mažųjų ir vidutinių įmonių apibrėžtį.</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Įstaigos nurodo duomenis atskaičiusios neįvykdytas IRB pozicijas.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MVĮ pozicijos. RWEA. SA pozicijos</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mažosioms ir vidutinėms įmonėms priskiriamų įmonių SA pozicijos, pagal riziką įvertintų pozicijų suma.</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MVĮ pozicijos. RWEA. IRB pozicijos</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įmonių IRB pozicijos pagal Reglamento (ES) Nr. 575/2013 147 straipsnio 2 dalies c punktą, jei šios pozicijos yra mažųjų ir vidutinių įmonių pozicijos ir nėra užtikrintos nekilnojamojo turto hipoteka pagal Reglamento (ES) Nr. 575/2013 199 straipsnio 1 dalies a punktą, pagal riziką įvertintų pozicijų suma.</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Šiame laukelyje įstaigos taiko Reglamento (ES) Nr. 575/2013 501 straipsnio 2 dalies b punkte nurodytą mažųjų ir vidutinių įmonių apibrėžtį.</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Kitos pozicijos, išskyrus MVĮ pozicijas. Sverto koeficiento pozicijos vertė. SA pozicijos</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122 straipsnio taikymo sritį patenkančios įmonių SA pozicijos, apie kurias nepranešta {0230;0040} ir {0250;0040} laukeliuose, sverto koeficiento pozicijos vertė.</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Kitos pozicijos, išskyrus MVĮ pozicijas. Sverto koeficiento pozicijos vertė. IRB pozicijos</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įmonių IRB pozicijos pagal Reglamento (ES) Nr. 575/2013 147 straipsnio 2 dalies c punktą, jei šios pozicijos nėra užtikrintos nekilnojamojo turto hipoteka pagal Reglamento (ES) Nr. 575/2013 199 straipsnio 1 dalies a punktą ir apie jas nepranešta {0230;0040} ir {0250;0040} laukeliuose, sverto koeficiento pozicijos vertė.</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Kitos pozicijos, išskyrus MVĮ pozicijas. RWEA. SA pozicijos</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į Reglamento (ES) Nr. 575/2013 122 straipsnio taikymo sritį patenkančios įmonių SA pozicijos, apie kurias nepranešta {0230;0040} ir {0250;0040} laukeliuose, pagal riziką įvertintų pozicijų suma.</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Kitos pozicijos, išskyrus MVĮ pozicijas. RWEA. IRB pozicijos</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Turto, kuris yra įmonių IRB pozicijos pagal Reglamento (ES) Nr. 575/2013 147 straipsnio 2 dalies c punktą, jei šios pozicijos nėra užtikrintos nekilnojamojo turto hipoteka pagal Reglamento (ES) Nr. 575/2013 199 straipsnio 1 dalies a punktą ir apie jas nepranešta {0230;0040} ir {0250;0040} laukeliuose, pagal riziką įvertintų pozicijų suma.</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esant įsipareigojimų neįvykdymui. Sverto koeficiento pozicijos vertė. SA pozicijos</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Įstaigos nurodo turto, kuris yra neįvykdytos SA pozicijos ir todėl patenka į Reglamento (ES) Nr. 575/2013 127 straipsnio taikymo sritį, sverto koeficiento pozicijos vertę.</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esant įsipareigojimų neįvykdymui. Sverto koeficiento pozicijos vertė. IRB pozicijos</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Įstaigos nurodo turto, priskirto Reglamento (ES) Nr. 575/2013 147 straipsnio 2 dalyje išvardytų pozicijų klasėms, jei, kaip nurodyta Reglamento (ES) Nr. 575/2013 178 straipsnyje, neįvykdyti įsipareigojimai, sverto koeficiento pozicijos vertę.</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esant įsipareigojimų neįvykdymui. RWEA. SA pozicijos</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turto, kuris yra neįvykdytos pozicijos ir todėl patenka į Reglamento (ES) Nr. 575/2013 127 straipsnio taikymo sritį, pagal riziką įvertintų pozicijų sumą.</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Pozicijos esant įsipareigojimų neįvykdymui. RWEA. IRB pozicijos</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turto, priskirto Reglamento (ES) Nr. 575/2013 147 straipsnio 2 dalyje išvardytoms pozicijų klasėms, jei, kaip nurodyta Reglamento (ES) Nr. 575/2013 178 straipsnyje, neįvykdyti įsipareigojimai, pagal riziką įvertintų pozicijų sumą.</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Kitos pozicijos. Sverto koeficiento pozicijos vertė. SA pozicijos</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priskirto Reglamento (ES) Nr. 575/2013 112 straipsnio k, m, n, o, p ir q punktuose išvardytoms pozicijų klasėms, sverto koeficiento pozicijos vertė.</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Įstaigos nurodo iš nuosavų lėšų atskaitytą turtą (pvz., nematerialųjį turtą), kurio kitaip čia negalima priskirti, netgi jeigu taip skirstyti nereikalaujama, norint nustatyti rizika grindžiamų nuosavų lėšų reikalavimus {*; 0030} ir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Kitos pozicijos. Sverto koeficiento pozicijos vertė. IRB pozicijos</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priskirto Reglamento (ES) Nr. 575/2013 147 straipsnio 2 dalies e, e1, f ir g punktuose išvardytoms pozicijų klasėms, sverto koeficiento pozicijos suma.</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Įstaigos nurodo iš nuosavų lėšų atskaitytą turtą (pvz., nematerialųjį turtą), kurio kitaip čia negalima priskirti, netgi jeigu taip skirstyti nereikalaujama, norint nustatyti rizika grindžiamų nuosavų lėšų reikalavimus {*; 0030} ir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Kitos pozicijos. RWEA. SA pozicijos</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priskirto Reglamento (ES) Nr. 575/2013 112 straipsnio k, m, n, o, p ir q punktuose išvardytoms pozicijų klasėms, pagal riziką įvertintų pozicijų vertė.</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Kitos pozicijos. RWEA. IRB pozicijos</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priskirto Reglamento (ES) Nr. 575/2013 147 straipsnio 2 dalies e, e1, f ir g punktuose išvardytoms pozicijų klasėms, pagal riziką įvertintų pozicijų vertė.</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pakeitimo vertybiniais popieriais pozicijos. Sverto koeficiento pozicijos vertė. SA pozicijos</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112 straipsnio m punkto taikymo sritį patenkančios pakeitimo vertybiniais popieriais SA pozicijos, sverto koeficiento pozicijos vertė.</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pakeitimo vertybiniais popieriais pozicijos. Sverto koeficiento pozicijos vertė. IRB pozicijos</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Turto, kuris yra į Reglamento (ES) Nr. 575/2013 147 straipsnio 2 dalies f punkto taikymo sritį patenkančios pakeitimo vertybiniais popieriais IRB pozicijos, sverto koeficiento pozicijos vertė.</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pakeitimo vertybiniais popieriais pozicijos. RWEA. SA pozicijos</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112 straipsnio m punkto taikymo sritį patenkančios pakeitimo vertybiniais popieriais SA pozicijos, pagal riziką įvertintų pozicijų suma.</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pakeitimo vertybiniais popieriais pozicijos. RWEA. IRB pozicijos</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Turto, kuris yra į Reglamento (ES) Nr. 575/2013 147 straipsnio 2 dalies f punkto taikymo sritį patenkančios pakeitimo vertybiniais popieriais IRB pozicijos, pagal riziką įvertintų pozicijų suma.</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Prekybos finansavimas (papildomas straipsnis). Sverto koeficiento pozicijos vertė. SA pozicijos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 skolinimu prekių arba paslaugų eksportuotojui arba importuotojui teikiant importo ir eksporto kreditus ir pagal panašius sandorius susijusių balansinių straipsnių sverto koeficiento pozicijos vertė.</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Prekybos finansavimas (papildomas straipsnis). Sverto koeficiento pozicijos vertė. IRB pozicijos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 skolinimu prekių arba paslaugų eksportuotojui arba importuotojui teikiant importo ir eksporto kreditus ir pagal panašius sandorius susijusių balansinių straipsnių sverto koeficiento pozicijų suma.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IRB pozicijas.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Prekybos finansavimas (papildomas straipsnis). RWEA. SA pozicijos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 skolinimu prekių arba paslaugų eksportuotojui arba importuotojui teikiant importo ir eksporto kreditus ir pagal panašius sandorius susijusių balansinių straipsnių pagal riziką įvertintos pozicijos vertė.</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Prekybos finansavimas (papildomas straipsnis). RWEA. IRB pozicijos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 skolinimu prekių arba paslaugų eksportuotojui arba importuotojui teikiant importo ir eksporto kreditus ir pagal panašius sandorius susijusių balansinių straipsnių pagal riziką įvertintų pozicijų suma.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Sverto koeficiento pozicijos vertė. SA pozicijos</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 prekybos finansavimu pagal oficialiai remiamo eksporto kredito draudimo sistemą susijusių balansinių straipsnių sverto koeficiento pozicijos vertė.</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LR4 formoje nurodoma oficialiai remiamo eksporto kredito draudimo sistema turi būti susijusi su Vyriausybės arba kito subjekto, pvz., eksporto 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xml:space="preserve">, palūkanų normos parama (kai kredito galiojimo laikotarpiu užtikrinama fiksuotoji palūkanų norma), pagalbos finansavimu (kreditais ir dotacijomis), eksporto kredito draudimu ir garantijomis.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Įstaigos nurodo duomenis atskaičiusios neįvykdytas SA pozicijas.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Sverto koeficiento pozicijos vertė. IRB pozicijos</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Su prekybos finansavimu pagal oficialiai remiamo eksporto kredito draudimo sistemą susijusių balansinių straipsnių sverto koeficiento pozicijų suma.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LR4 formoje nurodoma oficialiai remiamo eksporto kredito draudimo sistema turi būti susijusi su Vyriausybės arba kito subjekto, pvz., eksporto 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palūkanų normos parama (kai kredito galiojimo laikotarpiu užtikrinama fiksuotoji palūkanų norma), pagalbos finansavimu (kreditais ir dotacijomis), eksporto kredito draudimu ir garantijomis.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RWEA. SA pozicijos</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Su prekybos finansavimu pagal oficialiai remiamo eksporto kredito draudimo sistemą susijusių balansinių straipsnių pagal riziką įvertintos pozicijos vertė.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LR4 formoje nurodoma oficialiai remiamo eksporto kredito draudimo sistema turi būti susijusi su Vyriausybės arba kito subjekto, pvz., eksporto </w:t>
            </w:r>
            <w:r>
              <w:rPr>
                <w:rFonts w:ascii="Times New Roman" w:hAnsi="Times New Roman"/>
                <w:sz w:val="24"/>
              </w:rPr>
              <w:lastRenderedPageBreak/>
              <w:t xml:space="preserve">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xml:space="preserve">, palūkanų normos parama (kai kredito galiojimo laikotarpiu užtikrinama fiksuotoji palūkanų norma), pagalbos finansavimu (kreditais ir dotacijomis), eksporto kredito draudimu ir garantijomis.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SA pozicijas.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dalis, kurią atitinka: pagal oficialiai remiamo eksporto kredito draudimo sistemą. RWEA. IRB pozicijos</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Su prekybos finansavimu pagal oficialiai remiamo eksporto kredito draudimo sistemą susijusių balansinių straipsnių pagal riziką įvertintų pozicijų suma.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LR4 formoje nurodoma oficialiai remiamo eksporto kredito draudimo sistema turi būti susijusi su Vyriausybės arba kito subjekto, pvz., eksporto kreditų agentūros, teikiama oficialia parama, be kita ko, tiesioginiais kreditais/finansavimu, </w:t>
            </w:r>
            <w:proofErr w:type="spellStart"/>
            <w:r>
              <w:rPr>
                <w:rFonts w:ascii="Times New Roman" w:hAnsi="Times New Roman"/>
                <w:sz w:val="24"/>
              </w:rPr>
              <w:t>refinansavimu</w:t>
            </w:r>
            <w:proofErr w:type="spellEnd"/>
            <w:r>
              <w:rPr>
                <w:rFonts w:ascii="Times New Roman" w:hAnsi="Times New Roman"/>
                <w:sz w:val="24"/>
              </w:rPr>
              <w:t xml:space="preserve">, palūkanų normos parama (kai kredito galiojimo laikotarpiu užtikrinama fiksuotoji palūkanų norma), pagalbos finansavimu (kreditais ir dotacijomis), eksporto kredito draudimu ir garantijomis.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Įstaigos nurodo duomenis atskaičiusios neįvykdytas IRB pozicijas.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888743"/>
      <w:r>
        <w:rPr>
          <w:rFonts w:ascii="Times New Roman" w:hAnsi="Times New Roman"/>
          <w:b/>
          <w:sz w:val="24"/>
        </w:rPr>
        <w:t>6.</w:t>
      </w:r>
      <w:r>
        <w:tab/>
      </w:r>
      <w:r>
        <w:rPr>
          <w:rFonts w:ascii="Times New Roman" w:hAnsi="Times New Roman"/>
          <w:b/>
          <w:sz w:val="24"/>
        </w:rPr>
        <w:t>C 44.00. Bendroji informacija</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Šioje formoje renkama informacija apie įstaigos veiklos kategorijas ir įstaigos pasirinktas teisės aktais nustatytas galimybes.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Eilutė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ir skiltis</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Nurodymai</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Įstaigos bendrovės struktūra</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Įstaiga savo bendrovės struktūrą priskiria prie kurios nors iš šių kategorijų:</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akcinė bendrovė;</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savidraudos įmonė/kooperatinė bendrovė;</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kita neakcinė bendrovė.</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Išvestinių finansinių priemonių vertinimas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Įstaiga reguliuojamąjį išvestinių finansinių priemonių vertinimą priskiria prie kurios nors iš šių kategorijų:</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standartizuotas sandorio šalies kredito rizikos vertinimo metodas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supaprastintas standartizuotas sandorio šalies kredito rizikos vertinimo metodas;</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pradinės pozicijos metodas.</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Įstaigos rūšis</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Įstaiga savo įstaigos struktūrą priskiria prie kurios nors iš šių kategorijų:</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universalioji bankininkystė (mažmeninė / komercinė ir investicinė bankininkystė);</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mažmeninė / komercinė bankininkystė;</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investicinė bankininkystė;</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specializuotas skolinimas;</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viešosios plėtros kredito įstaigos;</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kitas verslo modelis.</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Įstaiga, turinti viešosios plėtros skyrių</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Įstaigos, kurios nėra viešosios plėtros kredito įstaigos, nurodo, ar jos turi viešosios plėtros skyrių.</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Subjektas, teikiantis garantiją viešosios plėtros kredito įstaigai / skyriui pagal KRR 429a straipsnio 2 dalies d punktą. Centrinė valdžia, regioninė valdžia arba vietos valdžios institucija</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Įstaigos, kurios yra viešosios plėtros kredito įstaigos arba turi viešosios plėtros skyrių, nurodo, ar joms garantiją teikia centrinė valdžia, regioninė valdžia ar vietos valdžios institucija.</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Užtikrinimo teikėjo tipą (-</w:t>
            </w:r>
            <w:proofErr w:type="spellStart"/>
            <w:r>
              <w:rPr>
                <w:rFonts w:ascii="Times New Roman" w:hAnsi="Times New Roman"/>
                <w:sz w:val="24"/>
              </w:rPr>
              <w:t>us</w:t>
            </w:r>
            <w:proofErr w:type="spellEnd"/>
            <w:r>
              <w:rPr>
                <w:rFonts w:ascii="Times New Roman" w:hAnsi="Times New Roman"/>
                <w:sz w:val="24"/>
              </w:rPr>
              <w:t>) atitinkančioje eilutėje įstaigos nurodo „TRUE“, o kitose eilutėse –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Centrinė valdžia, teikianti garantiją viešosios plėtros kredito įstaigai / skyriui</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Regioninė valdžia, teikianti garantiją viešosios plėtros kredito įstaigai / skyriui</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Vietos valdžios institucija, teikianti garantiją viešosios plėtros kredito įstaigai / skyriui</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Pagal KRR 429a straipsnio 2 dalies d punktą gautos garantijos rūšis.</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 xml:space="preserve">Įstaigos, kurios yra viešosios plėtros </w:t>
            </w:r>
            <w:r>
              <w:rPr>
                <w:rFonts w:ascii="Times New Roman" w:hAnsi="Times New Roman"/>
                <w:color w:val="auto"/>
                <w:sz w:val="24"/>
              </w:rPr>
              <w:t>kredito įstaigos</w:t>
            </w:r>
            <w:r>
              <w:rPr>
                <w:rFonts w:ascii="Times New Roman" w:hAnsi="Times New Roman"/>
                <w:sz w:val="24"/>
              </w:rPr>
              <w:t xml:space="preserve"> arba turi viešosios plėtros skyrių, nurodo gauto užtikrinimo rūšį.</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Užtikrinimo tipą (-</w:t>
            </w:r>
            <w:proofErr w:type="spellStart"/>
            <w:r>
              <w:rPr>
                <w:rFonts w:ascii="Times New Roman" w:hAnsi="Times New Roman"/>
                <w:sz w:val="24"/>
              </w:rPr>
              <w:t>us</w:t>
            </w:r>
            <w:proofErr w:type="spellEnd"/>
            <w:r>
              <w:rPr>
                <w:rFonts w:ascii="Times New Roman" w:hAnsi="Times New Roman"/>
                <w:sz w:val="24"/>
              </w:rPr>
              <w:t>) atitinkančioje eilutėje įstaigos nurodo „TRUE“, o kitose eilutėse –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Prievolė apsaugoti kredito įstaigos gyvybingumą</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Kredito įstaigos nuosavų lėšų reikalavimų, finansavimo reikalavimų ar suteiktų skatinamųjų paskolų tiesioginė garantija</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Kredito įstaigos nuosavų lėšų reikalavimų, finansavimo reikalavimų ar suteiktų skatinamųjų paskolų netiesioginė garantija</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888744"/>
      <w:r>
        <w:rPr>
          <w:rFonts w:ascii="Times New Roman" w:hAnsi="Times New Roman"/>
          <w:b/>
          <w:sz w:val="24"/>
        </w:rPr>
        <w:t>7.</w:t>
      </w:r>
      <w:r>
        <w:tab/>
      </w:r>
      <w:r>
        <w:rPr>
          <w:rFonts w:ascii="Times New Roman" w:hAnsi="Times New Roman"/>
          <w:b/>
          <w:sz w:val="24"/>
        </w:rPr>
        <w:t>C 48.00. Sverto koeficiento kintamumas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Informacija renkama siekiant stebėti sverto koeficiento kintamumą. Informaciją teikia tik didelės įstaigos.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888745"/>
      <w:r>
        <w:rPr>
          <w:rFonts w:ascii="Times New Roman" w:hAnsi="Times New Roman"/>
          <w:b/>
          <w:sz w:val="24"/>
        </w:rPr>
        <w:t>8.</w:t>
      </w:r>
      <w:r>
        <w:tab/>
      </w:r>
      <w:r>
        <w:rPr>
          <w:rFonts w:ascii="Times New Roman" w:hAnsi="Times New Roman"/>
          <w:b/>
          <w:sz w:val="24"/>
        </w:rPr>
        <w:t>C 48.01. Sverto koeficiento kintamumas. Sverto koeficiento kintamumas Ataskaitinio laikotarpio aritmetinis vidurkis</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Eilutė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ir skiltis</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Nurodymai</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Ataskaitinio laikotarpio aritmetinis vidurkis. VPĮFS pozicijos vertė</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Įstaigos nurodo ataskaitinio ketvirčio VPĮFS pozicijos vertės dienos verčių vidurkį, atėmus kliento prekybos pozicijų, kurių tarpuskaitą atlieka pagrindinė sandorio šalis, dalį, kuriai taikoma išimtis, kaip apibrėžta C47.00 formos 0010 ir 0050 eilutėse.</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F165A" w:rsidRDefault="001D7541" w:rsidP="000B66BC">
            <w:pPr>
              <w:pStyle w:val="BodyText1"/>
              <w:spacing w:after="240" w:line="240" w:lineRule="auto"/>
              <w:rPr>
                <w:rFonts w:ascii="Times New Roman" w:hAnsi="Times New Roman"/>
                <w:b/>
                <w:color w:val="auto"/>
                <w:sz w:val="24"/>
              </w:rPr>
            </w:pPr>
            <w:r w:rsidRPr="000F165A">
              <w:rPr>
                <w:rFonts w:ascii="Times New Roman" w:hAnsi="Times New Roman"/>
                <w:b/>
                <w:color w:val="auto"/>
                <w:sz w:val="24"/>
              </w:rPr>
              <w:t>Ataskaitinio laikotarpio aritmetinis vidurkis. VPĮFS pardavimo apskaitos sandorių koregavimai</w:t>
            </w:r>
            <w:r>
              <w:rPr>
                <w:rFonts w:ascii="Times New Roman" w:hAnsi="Times New Roman"/>
                <w:b/>
                <w:color w:val="auto"/>
                <w:sz w:val="24"/>
              </w:rPr>
              <w:t xml:space="preserv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Įstaigos nurodo ataskaitinio ketvirčio VPĮFS pardavimo apskaitos sandorių koregavimų, apibrėžtų C47.00 formos 0230 eilutėje, dienos verčių vidurkį.</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888746"/>
      <w:r>
        <w:rPr>
          <w:rFonts w:ascii="Times New Roman" w:hAnsi="Times New Roman"/>
          <w:b/>
          <w:sz w:val="24"/>
        </w:rPr>
        <w:t>9.</w:t>
      </w:r>
      <w:r>
        <w:tab/>
      </w:r>
      <w:r>
        <w:rPr>
          <w:rFonts w:ascii="Times New Roman" w:hAnsi="Times New Roman"/>
          <w:b/>
          <w:sz w:val="24"/>
        </w:rPr>
        <w:t>C 48.02. Sverto koeficiento kintamumas. Ataskaitinio laikotarpio dienos vertės</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Nurodomos ketvirčio dienos vertės.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lastRenderedPageBreak/>
              <w:t xml:space="preserve">Eilutė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ir skiltis</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Nurodymai</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Ataskaitinio laikotarpio ataskaitinė data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Įstaigos nurodo datą, su kuria susijusi pranešama dienos vertė. Nurodoma kiekviena ataskaitinio ketvirčio diena.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VPĮFS pozicijos vertė</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Įstaigos nurodo ataskaitinio ketvirčio VPĮFS pozicijos vertės dienos vertes, atėmus kliento prekybos pozicijų, kurių tarpuskaitą atlieka pagrindinė sandorio šalis, dalį, kuriai taikoma išimtis, kaip nurodyta C47.00 formos 0010 ir 0050 eilutėse.</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VPĮFS pardavimo apskaitos sandorių koregavimai</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Įstaigos nurodo ataskaitinio ketvirčio VPĮFS pardavimo apskaitos sandorių koregavimų, apibrėžtų C47.00 formos 0230 eilutėje, dienos vertes.</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532CF" w14:textId="77777777" w:rsidR="002B15B1" w:rsidRDefault="002B15B1">
      <w:r>
        <w:separator/>
      </w:r>
    </w:p>
  </w:endnote>
  <w:endnote w:type="continuationSeparator" w:id="0">
    <w:p w14:paraId="5B3FF29C" w14:textId="77777777" w:rsidR="002B15B1" w:rsidRDefault="002B15B1">
      <w:r>
        <w:continuationSeparator/>
      </w:r>
    </w:p>
  </w:endnote>
  <w:endnote w:type="continuationNotice" w:id="1">
    <w:p w14:paraId="42B8B0C2" w14:textId="77777777" w:rsidR="002B15B1" w:rsidRDefault="002B1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Content>
      <w:p w14:paraId="58D08035" w14:textId="77777777" w:rsidR="000B66BC" w:rsidRDefault="000B66BC">
        <w:pPr>
          <w:pStyle w:val="Footer"/>
          <w:jc w:val="right"/>
        </w:pPr>
        <w:r>
          <w:fldChar w:fldCharType="begin"/>
        </w:r>
        <w:r>
          <w:instrText xml:space="preserve"> PAGE   \* MERGEFORMAT </w:instrText>
        </w:r>
        <w:r>
          <w:fldChar w:fldCharType="separate"/>
        </w:r>
        <w:r>
          <w:t>4</w:t>
        </w:r>
        <w:r>
          <w:t>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B464" w14:textId="77777777" w:rsidR="002B15B1" w:rsidRPr="004D223F" w:rsidRDefault="002B15B1" w:rsidP="00C7701D">
      <w:r>
        <w:continuationSeparator/>
      </w:r>
    </w:p>
  </w:footnote>
  <w:footnote w:type="continuationSeparator" w:id="0">
    <w:p w14:paraId="49F27480" w14:textId="77777777" w:rsidR="002B15B1" w:rsidRDefault="002B15B1">
      <w:r>
        <w:continuationSeparator/>
      </w:r>
    </w:p>
  </w:footnote>
  <w:footnote w:type="continuationNotice" w:id="1">
    <w:p w14:paraId="52E7EC06" w14:textId="77777777" w:rsidR="002B15B1" w:rsidRDefault="002B15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42A"/>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65A"/>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15B1"/>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31AB"/>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644"/>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6396DA23-D2A6-4404-94C6-4A310FD46E54}"/>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70</Pages>
  <Words>18579</Words>
  <Characters>129126</Characters>
  <Application>Microsoft Office Word</Application>
  <DocSecurity>0</DocSecurity>
  <Lines>2807</Lines>
  <Paragraphs>1477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146228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2025-01-27T15:59:38Z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7fe89da7-c9c4-483c-b22e-7cf156c195f6</vt:lpwstr>
  </property>
  <property fmtid="{D5CDD505-2E9C-101B-9397-08002B2CF9AE}" pid="12" name="MSIP_Label_6bd9ddd1-4d20-43f6-abfa-fc3c07406f94_ContentBits">
    <vt:lpwstr>0</vt:lpwstr>
  </property>
</Properties>
</file>